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shd w:val="clear" w:color="auto" w:fill="auto"/>
        <w:tabs>
          <w:tab w:val="left" w:pos="8317" w:leader="none"/>
        </w:tabs>
        <w:ind w:left="2380" w:right="60" w:hanging="0"/>
        <w:jc w:val="left"/>
        <w:rPr>
          <w:b/>
          <w:b/>
          <w:i/>
          <w:i/>
        </w:rPr>
      </w:pPr>
      <w:r>
        <w:rPr>
          <w:b/>
          <w:i/>
        </w:rPr>
        <w:tab/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KARTA PRZEDMIOTU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A"/>
          <w:sz w:val="16"/>
          <w:szCs w:val="16"/>
        </w:rPr>
      </w:pPr>
      <w:r>
        <w:rPr>
          <w:rFonts w:cs="Times New Roman" w:ascii="Times New Roman" w:hAnsi="Times New Roman"/>
          <w:b/>
          <w:color w:val="00000A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50"/>
        <w:gridCol w:w="1276"/>
        <w:gridCol w:w="6521"/>
      </w:tblGrid>
      <w:tr>
        <w:trPr>
          <w:trHeight w:val="284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7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A"/>
                <w:sz w:val="18"/>
                <w:szCs w:val="18"/>
              </w:rPr>
              <w:t>1012.8.KOS1.D6.PP</w:t>
            </w:r>
          </w:p>
        </w:tc>
      </w:tr>
      <w:tr>
        <w:trPr>
          <w:trHeight w:val="284" w:hRule="atLeast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Nazwa przedmiotu w języku</w:t>
            </w: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6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Podstawy podologii</w:t>
            </w:r>
          </w:p>
          <w:p>
            <w:pPr>
              <w:pStyle w:val="Tekstwstpniesformatowany"/>
              <w:jc w:val="center"/>
              <w:rPr>
                <w:lang w:val="en-US"/>
              </w:rPr>
            </w:pPr>
            <w:bookmarkStart w:id="0" w:name="tw-target-text"/>
            <w:bookmarkEnd w:id="0"/>
            <w:r>
              <w:rPr>
                <w:rFonts w:cs="Times New Roman" w:ascii="Times New Roman" w:hAnsi="Times New Roman"/>
                <w:b/>
                <w:i/>
                <w:color w:val="00000A"/>
                <w:lang w:val="en-US"/>
              </w:rPr>
              <w:t>Basics of podology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84" w:hRule="atLeast"/>
        </w:trPr>
        <w:tc>
          <w:tcPr>
            <w:tcW w:w="19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65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</w:rPr>
            </w:pPr>
            <w:r>
              <w:rPr>
                <w:rFonts w:cs="Times New Roman" w:ascii="Times New Roman" w:hAnsi="Times New Roman"/>
                <w:b/>
                <w:color w:val="00000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USYTUOWANIE PRZEDMIOTU W SYSTEMIE STUDIÓW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59"/>
        <w:gridCol w:w="5387"/>
      </w:tblGrid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1.1. Kierunek studiów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Kosmetologia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1.2. Forma studiów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Stacjonarne, niestacjonarne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1.3. Poziom studiów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Studia pierwszego stopnia licencjackie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1.4. Profil studiów*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Praktyczny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340" w:hanging="340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mgr Karolina Sałagan-Kwiatkowska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1.6. Kontakt 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ksalagan@ujk.edu.pl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59"/>
        <w:gridCol w:w="5387"/>
      </w:tblGrid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2.1. Język wykładowy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polski</w:t>
            </w:r>
          </w:p>
        </w:tc>
      </w:tr>
      <w:tr>
        <w:trPr>
          <w:trHeight w:val="284" w:hRule="atLeast"/>
        </w:trPr>
        <w:tc>
          <w:tcPr>
            <w:tcW w:w="4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2.2. Wymagania wstępne*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Wiadomości z zakresu bieżących studiów: anatomii, dermatologii, kosmetologii pielęgnacyjnej, fizjoterapii.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26"/>
        <w:gridCol w:w="1766"/>
        <w:gridCol w:w="6455"/>
      </w:tblGrid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0" w:leader="none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Wykład,/ćwiczenia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zajęcia prowadzone w pomieszczeniu dydaktycznym Filii w Sandomierzu UJK w Kielcach 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Zaliczenie z oceną</w:t>
            </w:r>
          </w:p>
        </w:tc>
      </w:tr>
      <w:tr>
        <w:trPr>
          <w:trHeight w:val="284" w:hRule="atLeast"/>
        </w:trPr>
        <w:tc>
          <w:tcPr>
            <w:tcW w:w="32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Web"/>
              <w:spacing w:beforeAutospacing="0" w:before="280" w:afterAutospacing="0" w:after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podawcza, opis, prelekcja, dyskusja, wyjaśnianie zagadnień problemowych, konsultacje, wykorzystywanie technicznych środków dydaktycznych, wskazanie metod samodzielnego dochodzenia do wiedzy, prezentacje wybranych zagadnień w grupie.</w:t>
            </w:r>
          </w:p>
        </w:tc>
      </w:tr>
      <w:tr>
        <w:trPr>
          <w:trHeight w:val="284" w:hRule="atLeast"/>
        </w:trPr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Skalska M. Stopy moją pasją: ABC Gabinetu Podologicznego. Szczecin, MD-PRINT, 2015. 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Ziaja D., Sznapka M., Koczy B. Ziaja K. Vademecum podologii. Gdańsk, Via Medica, 2015.</w:t>
            </w:r>
          </w:p>
        </w:tc>
      </w:tr>
      <w:tr>
        <w:trPr>
          <w:trHeight w:val="284" w:hRule="atLeast"/>
        </w:trPr>
        <w:tc>
          <w:tcPr>
            <w:tcW w:w="15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426" w:hanging="392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Ziaja D., Sznapka M., Kuczmik W. PODOLOGIA. PODRĘCZNIK DLA STUDENTÓW MEDYCYNY, PODOLOGII, KOSMETOLOGII. Via Medica, wydanie I, 2020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Skalska M. Stopy moją pasją: Dziecko w gabinecie podologicznym wydanie. Szczecin, MD-PRINT, 2016. </w:t>
            </w:r>
          </w:p>
          <w:p>
            <w:pPr>
              <w:pStyle w:val="Normal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Skalska M. Ortonyksja w gabinecie podologicznym. Szczecin, MD-PRINT, 2018.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0"/>
          <w:numId w:val="6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CELE, TREŚCI I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81"/>
      </w:tblGrid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6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Cele przedmiotu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(z uwzględnieniem formy zajęć)</w:t>
            </w:r>
          </w:p>
          <w:p>
            <w:pPr>
              <w:pStyle w:val="Normal"/>
              <w:rPr>
                <w:rFonts w:ascii="Times New Roman" w:hAnsi="Times New Roman" w:cs="Times New Roman"/>
                <w:bCs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i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C1</w:t>
            </w:r>
            <w:r>
              <w:rPr>
                <w:rFonts w:ascii="Times New Roman" w:hAnsi="Times New Roman"/>
                <w:sz w:val="20"/>
                <w:szCs w:val="20"/>
              </w:rPr>
              <w:t>. Przekazanie studentowi wiedzy z nazewnictwa stosowanego w podologi i z zasadami sterylizacji i dezynfekcji w gabinetach kosmetologicznych i podologicznych.</w:t>
            </w:r>
          </w:p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C2</w:t>
            </w:r>
            <w:r>
              <w:rPr>
                <w:rFonts w:ascii="Times New Roman" w:hAnsi="Times New Roman"/>
                <w:sz w:val="20"/>
                <w:szCs w:val="20"/>
              </w:rPr>
              <w:t>. Przekazanie studentowi umiejętności jak przeprowadzić wywiad oraz diagnostykę podologiczną, założyć kartę pacjenta.</w:t>
            </w:r>
          </w:p>
          <w:p>
            <w:pPr>
              <w:pStyle w:val="Normal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C3.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Przekazanie studentowi umiejtności  do wykonywania kosmetycznych zabiegów pielęgnacyjnych oraz wspomagających leczenie chorób skóry i jej przydatków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z uwzględnieniem wskazań i przeciwwskazań w placówkach świadczących pełny zakres usług z zakresu kosmetologii i podologii we współpracy z lekarzami specjalistami.</w:t>
            </w:r>
          </w:p>
          <w:p>
            <w:pPr>
              <w:pStyle w:val="Normal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A"/>
                <w:sz w:val="20"/>
                <w:szCs w:val="20"/>
              </w:rPr>
              <w:t>C4.</w:t>
            </w:r>
            <w:r>
              <w:rPr>
                <w:rFonts w:ascii="Times New Roman" w:hAnsi="Times New Roman"/>
                <w:bCs/>
                <w:iCs/>
                <w:color w:val="00000A"/>
                <w:sz w:val="20"/>
                <w:szCs w:val="20"/>
              </w:rPr>
              <w:t xml:space="preserve"> Przekazanie studentowi  umiejętności z zakresu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podstawowych jednostek chorobowych stóp i paznokci oraz zasad właściwej pielęgnacji skory stóp i paznokci. Student zna zasady profilaktyki chorób stóp i paznokci.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</w:tr>
      <w:tr>
        <w:trPr>
          <w:trHeight w:val="907" w:hRule="atLeast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6"/>
              </w:numPr>
              <w:ind w:left="498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Treści programowe </w:t>
            </w: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(z uwzględnieniem formy zajęć)</w:t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kern w:val="2"/>
                <w:sz w:val="20"/>
                <w:szCs w:val="20"/>
                <w:lang w:val="it-IT" w:eastAsia="zh-CN" w:bidi="hi-IN"/>
              </w:rPr>
              <w:t>Wykł</w:t>
            </w:r>
            <w:r>
              <w:rPr>
                <w:rFonts w:cs="Times New Roman" w:ascii="Times New Roman" w:hAnsi="Times New Roman"/>
                <w:b/>
                <w:bCs/>
                <w:color w:val="00000A"/>
                <w:kern w:val="2"/>
                <w:sz w:val="20"/>
                <w:szCs w:val="20"/>
                <w:lang w:eastAsia="zh-CN" w:bidi="hi-IN"/>
              </w:rPr>
              <w:t>ady:</w:t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Zasady sterylizacji i dezynfekcji w gabinetach kosmetologicznych i podologicznych oraz środki antyseptyczne stosowane na skórę.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Stopa: anatomia i fizjologia.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Profilaktyka i postępowanie ze zmianami skórnymi przebiegającymi z nadmiernym rogowaceniem.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Metody korekcji wrastających paznokci.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Diagnostyka defektów i chorób skóry oraz jej przydatków – badania podmiotowe i przedmiotowe.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Defekty i choroby paznokci – profilaktyka i leczenie.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Podoskopia, plantokonturografia i baropodometria w diagnostyce zmian skórnych w przebiegu chorób stóp.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Postępowanie profilaktyczne i lecznicze w obrzęku i przewlekłej niewydolności żylnej.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Profilaktyka w zespole stopy cukrzycowej.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Pielęgnacja stóp w zespole stopy cukrzycowej.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Nowoczesne opatrunki w leczeniu ran przewlekłych.</w:t>
            </w:r>
          </w:p>
          <w:p>
            <w:pPr>
              <w:pStyle w:val="Normal"/>
              <w:textAlignment w:val="baseline"/>
              <w:rPr>
                <w:rFonts w:ascii="Times New Roman" w:hAnsi="Times New Roman" w:cs="Times New Roman"/>
                <w:bCs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bCs/>
                <w:color w:val="00000A"/>
                <w:kern w:val="2"/>
                <w:sz w:val="20"/>
                <w:szCs w:val="20"/>
                <w:lang w:val="it-IT" w:eastAsia="zh-CN" w:bidi="hi-IN"/>
              </w:rPr>
            </w:r>
          </w:p>
          <w:p>
            <w:pPr>
              <w:pStyle w:val="Normal"/>
              <w:textAlignment w:val="baseline"/>
              <w:rPr>
                <w:rFonts w:ascii="Times New Roman" w:hAnsi="Times New Roman" w:cs="Times New Roman"/>
                <w:b/>
                <w:b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b/>
                <w:color w:val="00000A"/>
                <w:kern w:val="2"/>
                <w:sz w:val="20"/>
                <w:szCs w:val="20"/>
                <w:lang w:val="it-IT" w:eastAsia="zh-CN" w:bidi="hi-IN"/>
              </w:rPr>
              <w:t>Ćwiczenia: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 xml:space="preserve">Regulamin pracy oraz przepisy BHP. Wyposażenie i organizacja pracy w gabinecie kosmetologii i podologii. Zawód podologa i działania w zakresie specjalistycznej pielęgnacji stóp. 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Procedury higieny i dekontaminacji w gabinecie podologicznym. Dezynfekcja i sterylizacja - ćwiczenia. Środki ochrony osobistej i klienta stosowane w zabiegach specjalistycznej pielęgnacji stóp. Zasady postępowania z odpadami medycznymi.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Wywiad, diagnostyka i dokumentacja podologiczna. Różnicowanie defektów kosmetycznych z objawami chorób zakaźnych. Warunki przystąpienia do zabiegu specjalistycznej pielęgnacji stóp. Zasady prowadzania dokumentacji zabiegów specjalistycznej pielęgnacji stóp. Podstawy diagnostyki dermatologicznej i neurologicznej w podologii.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Hiperkeratozy skóry stóp. Metody profilaktyki i usuwania modzeli, nagniotków i pękającej skóry stóp. Usuwanie zrogowaciałego naskórka skóry stóp z zastosowaniem skalpela i frezarki (narzędzia rotacyjne). Diagnostyka podologiczna i zabieg specjalistycznej pielęgnacji stóp – ćwiczenia.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Usuwanie hiperkeratoz i defektów płytki paznokciowej specjalistycznymi narzędziami. Diagnostyka podologiczna i zabieg specjalistycznej pielęgnacji stóp – ćwiczenia.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Defekty i choroby paznokci. Metody usuwania defektów płytki paznokciowej. Postępowanie w przypadku uszkodzonych i zmienionych chorobowo paznokci. Ćwiczenia.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Diagnostyka grzybicy paznokci. Cel, wskazania i przeciwskazania do rekonstrukcji. Materiały niezbędne do zabiegu. Metodyka rekonstrukcji paznokci. Ćwiczenia.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 xml:space="preserve">Wrastające paznokcie. Charakterystyka i etiopatogeneza wrastającego paznokcia. Metody korekcji wrastających paznokci i paznokci rurkowatych z zastosowaniem tamponady i klamer. Praktyczne zastosowanie tamponady i rurek protekcyjnych w korekcji wrastających paznokci. Przegląd klamer oronyksyjnych na wrastające paznokcie. 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 xml:space="preserve">Manualny drenaż limfatyczny kończyn dolnych w profilaktyce obrzęków limfatycznych – cel, wskazania, przeciwwskazania i wykonanie. </w:t>
            </w:r>
          </w:p>
          <w:p>
            <w:pPr>
              <w:pStyle w:val="Normal"/>
              <w:numPr>
                <w:ilvl w:val="0"/>
                <w:numId w:val="5"/>
              </w:numPr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  <w:t>Masaż klasyczny i punktowy stóp – cel, wskazania, przeciwwskazania i wykonanie.</w:t>
            </w:r>
          </w:p>
          <w:p>
            <w:pPr>
              <w:pStyle w:val="Normal"/>
              <w:textAlignment w:val="baseline"/>
              <w:rPr>
                <w:rFonts w:ascii="Times New Roman" w:hAnsi="Times New Roman" w:eastAsia="SimSun" w:cs="Times New Roman"/>
                <w:color w:val="00000A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color w:val="00000A"/>
                <w:kern w:val="2"/>
                <w:sz w:val="20"/>
                <w:szCs w:val="20"/>
                <w:lang w:eastAsia="zh-CN" w:bidi="hi-IN"/>
              </w:rPr>
            </w:r>
          </w:p>
          <w:p>
            <w:pPr>
              <w:pStyle w:val="Normal"/>
              <w:textAlignment w:val="baseline"/>
              <w:rPr>
                <w:rFonts w:ascii="Times New Roman" w:hAnsi="Times New Roman" w:cs="Times New Roman"/>
                <w:b/>
                <w:b/>
                <w:bCs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kern w:val="2"/>
                <w:sz w:val="20"/>
                <w:szCs w:val="20"/>
                <w:lang w:val="it-IT" w:eastAsia="zh-CN" w:bidi="hi-IN"/>
              </w:rPr>
            </w:r>
          </w:p>
          <w:p>
            <w:pPr>
              <w:pStyle w:val="Normal"/>
              <w:textAlignment w:val="baseline"/>
              <w:rPr>
                <w:rFonts w:ascii="Times New Roman" w:hAnsi="Times New Roman" w:cs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cs="Times New Roman" w:ascii="Times New Roman" w:hAnsi="Times New Roman"/>
                <w:color w:val="00000A"/>
                <w:kern w:val="2"/>
                <w:sz w:val="20"/>
                <w:szCs w:val="20"/>
                <w:lang w:val="it-IT" w:eastAsia="zh-CN" w:bidi="hi-IN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</w:r>
    </w:p>
    <w:p>
      <w:pPr>
        <w:pStyle w:val="Normal"/>
        <w:numPr>
          <w:ilvl w:val="1"/>
          <w:numId w:val="6"/>
        </w:numPr>
        <w:ind w:left="426" w:hanging="426"/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Przedmiotowe efekty uczenia się</w:t>
      </w:r>
    </w:p>
    <w:tbl>
      <w:tblPr>
        <w:tblW w:w="9781" w:type="dxa"/>
        <w:jc w:val="left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4"/>
        <w:gridCol w:w="7358"/>
        <w:gridCol w:w="1629"/>
      </w:tblGrid>
      <w:tr>
        <w:trPr>
          <w:trHeight w:val="284" w:hRule="exact"/>
          <w:cantSplit w:val="true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Odniesienie do kierunkowych efektów uczenia się</w:t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>
        <w:trPr>
          <w:trHeight w:val="284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rozpoznać defekty skóry stóp pozostające w kompetencji podologa i stan chorobowy wymagający konsultacji lekarskiej.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KOSP1_W04</w:t>
              <w:br/>
              <w:t>KOSP1_W08</w:t>
            </w:r>
          </w:p>
        </w:tc>
      </w:tr>
      <w:tr>
        <w:trPr>
          <w:trHeight w:val="91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rozpoznać i różnicować dermatozy występujące na stopach, zna ich patogenezę. Student zna wskazania i przeciwwskazania do wykonania podstawowych zabiegów podologicznych, technikę tych zabiegów oraz zasady postępowania w przypadku wrastającego paznokcia, bolesnych nagniotków i modzeli, pękającej skóry pięt, nadmiernej potliwości stóp, nadmiernego rogowacenia skóry stóp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KOSP1_W06</w:t>
            </w:r>
          </w:p>
        </w:tc>
      </w:tr>
      <w:tr>
        <w:trPr>
          <w:trHeight w:val="67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zna budowę anatomiczną stopy.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KOSP1_W03</w:t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>
        <w:trPr>
          <w:trHeight w:val="68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dokonać umiejętnej oceny dermatologiczno-kosmetycznej zmian skóry.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KOSP1_U01</w:t>
              <w:br/>
              <w:t>KOSP1_U02</w:t>
            </w:r>
          </w:p>
        </w:tc>
      </w:tr>
      <w:tr>
        <w:trPr>
          <w:trHeight w:val="77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wykazuje umiejętność komunikowania interpersonalnego w relacjach kosmetolog (podolog)klient oraz kosmetolog (podolog)-lekarz, przedstawiciel handlowy firmy kosmetycznej.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KOSP1_U03</w:t>
            </w:r>
          </w:p>
        </w:tc>
      </w:tr>
      <w:tr>
        <w:trPr>
          <w:trHeight w:val="45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udzielić porady odnośnie wyboru danego preparatu kosmetycznego, w aspekcie dokonywanego zabiegu podologicznego.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KOSP1_U05</w:t>
            </w:r>
          </w:p>
        </w:tc>
      </w:tr>
      <w:tr>
        <w:trPr>
          <w:trHeight w:val="18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rozróżnić defekty skóry stóp pozostające w kompetencji kosmetologa od stanów chorobowych wymagających konsultacji dermatologicznej.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KOSP1_U04</w:t>
            </w:r>
          </w:p>
        </w:tc>
      </w:tr>
      <w:tr>
        <w:trPr>
          <w:trHeight w:val="18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U05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potrafi prowadzić dokumentację dotycząca klienta.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KOSP1_U09</w:t>
            </w:r>
          </w:p>
        </w:tc>
      </w:tr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trike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w zakresie </w:t>
            </w: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>
        <w:trPr>
          <w:trHeight w:val="132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  <w:br/>
              <w:br/>
              <w:br/>
              <w:br/>
              <w:br/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Student ma świadomość konieczności stosowania środków ochrony indywidualnej podczas pracy.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ma świadomość planowania i realizowania różnych form i metod edukacji pacjentów w zakresie profilaktyki i promocji zdrowia. Prowadzi edukację z zakresu profilaktyki stopy cukrzycowej.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KOSP1_K07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</w:tr>
      <w:tr>
        <w:trPr>
          <w:trHeight w:val="105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br/>
              <w:t>K02</w:t>
              <w:br/>
              <w:br/>
              <w:br/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Student posiada świadomość ryzyka jakie niesie wykonanie zabiegu wykraczającego poza zakres kompetencji podologa i w przypadkach wymagających interwencji medycznej – kieruje klienta do odpowiedniego specjalisty. 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KOSP1_K03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</w:tr>
      <w:tr>
        <w:trPr>
          <w:trHeight w:val="1290" w:hRule="atLeast"/>
        </w:trPr>
        <w:tc>
          <w:tcPr>
            <w:tcW w:w="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br/>
              <w:t>K03</w:t>
            </w:r>
          </w:p>
        </w:tc>
        <w:tc>
          <w:tcPr>
            <w:tcW w:w="7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Student jest gotów do współpracy przy terapiach wielospecjalistycznych podolog-dermatolog, podolog-ortopeda, podolog-chirurg oraz zasięgania opinii innych ekspertów.</w:t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KOSP1_K06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01"/>
        <w:gridCol w:w="448"/>
        <w:gridCol w:w="423"/>
        <w:gridCol w:w="433"/>
        <w:gridCol w:w="395"/>
        <w:gridCol w:w="376"/>
        <w:gridCol w:w="382"/>
        <w:gridCol w:w="384"/>
        <w:gridCol w:w="368"/>
        <w:gridCol w:w="372"/>
        <w:gridCol w:w="384"/>
        <w:gridCol w:w="367"/>
        <w:gridCol w:w="374"/>
        <w:gridCol w:w="383"/>
        <w:gridCol w:w="369"/>
        <w:gridCol w:w="373"/>
        <w:gridCol w:w="383"/>
        <w:gridCol w:w="368"/>
        <w:gridCol w:w="374"/>
        <w:gridCol w:w="383"/>
        <w:gridCol w:w="369"/>
        <w:gridCol w:w="369"/>
      </w:tblGrid>
      <w:tr>
        <w:trPr>
          <w:trHeight w:val="284" w:hRule="atLeast"/>
        </w:trPr>
        <w:tc>
          <w:tcPr>
            <w:tcW w:w="9778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1"/>
                <w:numId w:val="2"/>
              </w:numPr>
              <w:tabs>
                <w:tab w:val="left" w:pos="426" w:leader="none"/>
              </w:tabs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>
        <w:trPr>
          <w:trHeight w:val="284" w:hRule="atLeast"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Efekty przedmiotowe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(symbol)</w:t>
            </w:r>
          </w:p>
        </w:tc>
        <w:tc>
          <w:tcPr>
            <w:tcW w:w="8077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Sposób weryfikacji (+/-)</w:t>
            </w:r>
          </w:p>
        </w:tc>
      </w:tr>
      <w:tr>
        <w:trPr>
          <w:trHeight w:val="284" w:hRule="atLeast"/>
        </w:trPr>
        <w:tc>
          <w:tcPr>
            <w:tcW w:w="17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30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-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8"/>
                <w:szCs w:val="18"/>
              </w:rPr>
              <w:t>Egzamin ustny/pisemny</w:t>
            </w: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*</w:t>
            </w:r>
          </w:p>
        </w:tc>
        <w:tc>
          <w:tcPr>
            <w:tcW w:w="1153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Kolokwium*</w:t>
            </w:r>
          </w:p>
        </w:tc>
        <w:tc>
          <w:tcPr>
            <w:tcW w:w="1124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8"/>
                <w:szCs w:val="18"/>
              </w:rPr>
              <w:t>Projekt*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 xml:space="preserve">Aktywność               </w:t>
            </w:r>
            <w:r>
              <w:rPr>
                <w:rFonts w:cs="Times New Roman" w:ascii="Times New Roman" w:hAnsi="Times New Roman"/>
                <w:b/>
                <w:color w:val="00000A"/>
                <w:spacing w:val="-2"/>
                <w:sz w:val="18"/>
                <w:szCs w:val="18"/>
              </w:rPr>
              <w:t>na zajęciach*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Praca własna*</w:t>
            </w:r>
          </w:p>
        </w:tc>
        <w:tc>
          <w:tcPr>
            <w:tcW w:w="1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18"/>
                <w:szCs w:val="18"/>
              </w:rPr>
              <w:t>Praca                  w grupie*</w:t>
            </w:r>
          </w:p>
        </w:tc>
        <w:tc>
          <w:tcPr>
            <w:tcW w:w="1121" w:type="dxa"/>
            <w:gridSpan w:val="3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trike/>
                <w:color w:val="00000A"/>
                <w:sz w:val="18"/>
                <w:szCs w:val="18"/>
                <w:highlight w:val="lightGray"/>
              </w:rPr>
            </w:pPr>
            <w:r>
              <w:rPr>
                <w:rFonts w:cs="Times New Roman" w:ascii="Times New Roman" w:hAnsi="Times New Roman"/>
                <w:b/>
                <w:strike/>
                <w:color w:val="00000A"/>
                <w:sz w:val="18"/>
                <w:szCs w:val="18"/>
              </w:rPr>
              <w:t xml:space="preserve">Inne </w:t>
            </w:r>
            <w:r>
              <w:rPr>
                <w:rFonts w:cs="Times New Roman" w:ascii="Times New Roman" w:hAnsi="Times New Roman"/>
                <w:b/>
                <w:i/>
                <w:strike/>
                <w:color w:val="00000A"/>
                <w:sz w:val="18"/>
                <w:szCs w:val="18"/>
              </w:rPr>
              <w:t>(jakie?)</w:t>
            </w:r>
            <w:r>
              <w:rPr>
                <w:rFonts w:cs="Times New Roman" w:ascii="Times New Roman" w:hAnsi="Times New Roman"/>
                <w:b/>
                <w:strike/>
                <w:color w:val="00000A"/>
                <w:sz w:val="18"/>
                <w:szCs w:val="18"/>
              </w:rPr>
              <w:t>*</w:t>
            </w:r>
          </w:p>
        </w:tc>
      </w:tr>
      <w:tr>
        <w:trPr>
          <w:trHeight w:val="284" w:hRule="atLeast"/>
        </w:trPr>
        <w:tc>
          <w:tcPr>
            <w:tcW w:w="17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130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53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24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25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25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25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1121" w:type="dxa"/>
            <w:gridSpan w:val="3"/>
            <w:tcBorders>
              <w:top w:val="single" w:sz="12" w:space="0" w:color="00000A"/>
              <w:left w:val="single" w:sz="4" w:space="0" w:color="00000A"/>
              <w:bottom w:val="dashSmallGap" w:sz="8" w:space="0" w:color="00000A"/>
              <w:right w:val="single" w:sz="4" w:space="0" w:color="00000A"/>
              <w:insideH w:val="dashSmallGap" w:sz="8" w:space="0" w:color="00000A"/>
              <w:insideV w:val="single" w:sz="4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Forma zajęć</w:t>
            </w:r>
          </w:p>
        </w:tc>
      </w:tr>
      <w:tr>
        <w:trPr>
          <w:trHeight w:val="284" w:hRule="atLeast"/>
        </w:trPr>
        <w:tc>
          <w:tcPr>
            <w:tcW w:w="17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</w:r>
          </w:p>
        </w:tc>
        <w:tc>
          <w:tcPr>
            <w:tcW w:w="448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423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433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95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76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82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4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6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2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4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67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6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3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68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dashSmallGap" w:sz="8" w:space="0" w:color="00000A"/>
              <w:left w:val="single" w:sz="4" w:space="0" w:color="00000A"/>
              <w:bottom w:val="single" w:sz="12" w:space="0" w:color="00000A"/>
              <w:right w:val="dashSmallGap" w:sz="8" w:space="0" w:color="00000A"/>
              <w:insideH w:val="single" w:sz="12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W</w:t>
            </w:r>
          </w:p>
        </w:tc>
        <w:tc>
          <w:tcPr>
            <w:tcW w:w="36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C</w:t>
            </w:r>
          </w:p>
        </w:tc>
        <w:tc>
          <w:tcPr>
            <w:tcW w:w="369" w:type="dxa"/>
            <w:tcBorders>
              <w:top w:val="dashSmallGap" w:sz="8" w:space="0" w:color="00000A"/>
              <w:left w:val="dashSmallGap" w:sz="8" w:space="0" w:color="00000A"/>
              <w:bottom w:val="single" w:sz="12" w:space="0" w:color="00000A"/>
              <w:right w:val="single" w:sz="4" w:space="0" w:color="00000A"/>
              <w:insideH w:val="single" w:sz="12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...</w:t>
            </w:r>
          </w:p>
        </w:tc>
      </w:tr>
      <w:tr>
        <w:trPr>
          <w:trHeight w:val="284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4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67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12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1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W03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6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2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23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39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U04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49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U05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39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  <w:br/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37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  <w:tr>
        <w:trPr>
          <w:trHeight w:val="370" w:hRule="atLeast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K03</w:t>
            </w:r>
          </w:p>
        </w:tc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2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43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6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8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2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7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3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8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ashSmallGap" w:sz="8" w:space="0" w:color="00000A"/>
              <w:insideH w:val="single" w:sz="4" w:space="0" w:color="00000A"/>
              <w:insideV w:val="dashSmallGap" w:sz="8" w:space="0" w:color="00000A"/>
            </w:tcBorders>
            <w:shd w:color="auto"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  <w:tc>
          <w:tcPr>
            <w:tcW w:w="369" w:type="dxa"/>
            <w:tcBorders>
              <w:top w:val="single" w:sz="4" w:space="0" w:color="00000A"/>
              <w:left w:val="dashSmallGap" w:sz="8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20"/>
          <w:szCs w:val="20"/>
          <w:lang w:val="pl-PL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92"/>
        <w:gridCol w:w="720"/>
        <w:gridCol w:w="8269"/>
      </w:tblGrid>
      <w:tr>
        <w:trPr>
          <w:trHeight w:val="284" w:hRule="atLeast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Kryteria oceny stopnia osiągnięcia efektów uczenia się</w:t>
            </w:r>
          </w:p>
        </w:tc>
      </w:tr>
      <w:tr>
        <w:trPr>
          <w:trHeight w:val="284" w:hRule="atLeast"/>
        </w:trPr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Kryterium oceny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50 – 59 % pozytywnie zaliczonych pytań z testu.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60 – 69 % pozytywnie zaliczonych pytań z testu.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70 – 89 % pozytywnie zaliczonych pytań z testu,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80 – 89 % pozytywnie zaliczonych pytań z testu,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 xml:space="preserve">90 – 100 % pozytywnie zaliczonych pytań z testu, </w:t>
            </w:r>
          </w:p>
        </w:tc>
      </w:tr>
      <w:tr>
        <w:trPr>
          <w:trHeight w:val="255" w:hRule="atLeast"/>
          <w:cantSplit w:val="true"/>
        </w:trPr>
        <w:tc>
          <w:tcPr>
            <w:tcW w:w="7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  <w:textDirection w:val="btL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rFonts w:ascii="Times New Roman" w:hAnsi="Times New Roman" w:cs="Times New Roman"/>
                <w:b/>
                <w:b/>
                <w:color w:val="00000A"/>
                <w:spacing w:val="-5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ind w:right="113" w:hanging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Referat, praca w grupach. Zaliczenie praktyczne z ćwiczeń – 50-59%.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tabs>
                <w:tab w:val="left" w:pos="5010" w:leader="none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Referat, praca w grupach. Zaliczenie praktyczne z ćwiczeń -  60-69%.</w:t>
              <w:tab/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Referat, praca w grupach. Zaliczenie praktyczne z ćwiczeń – 70-79%.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Referat, praca w grupach. Zaliczenie praktyczne z ćwiczeń  - 80-89%.</w:t>
            </w:r>
          </w:p>
        </w:tc>
      </w:tr>
      <w:tr>
        <w:trPr>
          <w:trHeight w:val="255" w:hRule="atLeast"/>
        </w:trPr>
        <w:tc>
          <w:tcPr>
            <w:tcW w:w="7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5" w:type="dxa"/>
            </w:tcMar>
          </w:tcPr>
          <w:p>
            <w:pPr>
              <w:pStyle w:val="Normal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Referat, praca w grupach. Zaliczenie praktyczne z ćwiczeń  - 90-100%.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A"/>
          <w:sz w:val="20"/>
          <w:szCs w:val="20"/>
        </w:rPr>
      </w:pPr>
      <w:r>
        <w:rPr>
          <w:rFonts w:cs="Times New Roman" w:ascii="Times New Roman" w:hAnsi="Times New Roman"/>
          <w:color w:val="00000A"/>
          <w:sz w:val="20"/>
          <w:szCs w:val="20"/>
        </w:rPr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b/>
          <w:b/>
          <w:color w:val="00000A"/>
          <w:sz w:val="20"/>
          <w:szCs w:val="20"/>
        </w:rPr>
      </w:pPr>
      <w:r>
        <w:rPr>
          <w:rFonts w:cs="Times New Roman" w:ascii="Times New Roman" w:hAnsi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1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29"/>
        <w:gridCol w:w="1476"/>
        <w:gridCol w:w="1476"/>
      </w:tblGrid>
      <w:tr>
        <w:trPr>
          <w:trHeight w:val="284" w:hRule="atLeast"/>
        </w:trPr>
        <w:tc>
          <w:tcPr>
            <w:tcW w:w="68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Obciążenie studenta</w:t>
            </w:r>
          </w:p>
        </w:tc>
      </w:tr>
      <w:tr>
        <w:trPr>
          <w:trHeight w:val="284" w:hRule="atLeast"/>
        </w:trPr>
        <w:tc>
          <w:tcPr>
            <w:tcW w:w="68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Studia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niestacjonarne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 xml:space="preserve">Udział w ćwiczeniach,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konwersatoriach, laboratoriach*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18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Udział w e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gzaminie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/kolokwium zaliczeniowym*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45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 xml:space="preserve">Przygotowanie do ćwiczeń,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konwersatorium, laboratorium*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20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 xml:space="preserve">Przygotowanie do </w:t>
            </w:r>
            <w:r>
              <w:rPr>
                <w:rFonts w:cs="Times New Roman" w:ascii="Times New Roman" w:hAnsi="Times New Roman"/>
                <w:i/>
                <w:strike/>
                <w:color w:val="00000A"/>
                <w:sz w:val="20"/>
                <w:szCs w:val="20"/>
              </w:rPr>
              <w:t>egzaminu/</w:t>
            </w:r>
            <w:r>
              <w:rPr>
                <w:rFonts w:cs="Times New Roman" w:ascii="Times New Roman" w:hAnsi="Times New Roman"/>
                <w:i/>
                <w:color w:val="00000A"/>
                <w:sz w:val="20"/>
                <w:szCs w:val="20"/>
              </w:rPr>
              <w:t>kolokwium*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A"/>
                <w:sz w:val="20"/>
                <w:szCs w:val="20"/>
              </w:rPr>
              <w:t>15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i/>
                <w:color w:val="00000A"/>
                <w:sz w:val="20"/>
                <w:szCs w:val="20"/>
              </w:rPr>
              <w:t>75</w:t>
            </w:r>
          </w:p>
        </w:tc>
      </w:tr>
      <w:tr>
        <w:trPr>
          <w:trHeight w:val="284" w:hRule="atLeast"/>
        </w:trPr>
        <w:tc>
          <w:tcPr>
            <w:tcW w:w="6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E0E0E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A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A"/>
                <w:sz w:val="20"/>
                <w:szCs w:val="20"/>
              </w:rPr>
              <w:t>3</w:t>
            </w:r>
          </w:p>
        </w:tc>
      </w:tr>
    </w:tbl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60" w:after="0"/>
        <w:ind w:right="23" w:hanging="0"/>
        <w:rPr>
          <w:b/>
          <w:b/>
          <w:i/>
          <w:i/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/>
        </w:rPr>
        <w:t>*niepotrzebne usunąć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0000FF"/>
          <w:sz w:val="24"/>
          <w:szCs w:val="24"/>
        </w:rPr>
      </w:pPr>
      <w:r>
        <w:rPr>
          <w:i/>
          <w:color w:val="0000FF"/>
          <w:sz w:val="24"/>
          <w:szCs w:val="24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sz w:val="16"/>
          <w:szCs w:val="16"/>
        </w:rPr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</w:t>
      </w:r>
      <w:r>
        <w:rPr>
          <w:i/>
          <w:color w:val="FF0000"/>
          <w:sz w:val="16"/>
          <w:szCs w:val="16"/>
        </w:rPr>
        <w:t>i</w:t>
      </w:r>
      <w:r>
        <w:rPr>
          <w:i/>
          <w:color w:val="FF0000"/>
          <w:sz w:val="16"/>
          <w:szCs w:val="16"/>
          <w:lang w:val="pl-PL"/>
        </w:rPr>
        <w:t xml:space="preserve"> czytelne</w:t>
      </w:r>
      <w:r>
        <w:rPr>
          <w:i/>
          <w:sz w:val="16"/>
          <w:szCs w:val="16"/>
          <w:lang w:val="pl-PL"/>
        </w:rPr>
        <w:t xml:space="preserve">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  <w:lang w:val="pl-PL"/>
        </w:rPr>
      </w:pPr>
      <w:r>
        <w:rPr>
          <w:i/>
          <w:color w:val="FF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655" w:leader="none"/>
        </w:tabs>
        <w:spacing w:lineRule="auto" w:line="240" w:before="0" w:after="0"/>
        <w:ind w:right="20" w:hanging="0"/>
        <w:rPr>
          <w:i/>
          <w:i/>
          <w:color w:val="FF0000"/>
          <w:sz w:val="20"/>
          <w:szCs w:val="20"/>
          <w:lang w:val="pl-PL"/>
        </w:rPr>
      </w:pPr>
      <w:r>
        <w:rPr>
          <w:i/>
          <w:color w:val="FF0000"/>
          <w:sz w:val="20"/>
          <w:szCs w:val="20"/>
          <w:lang w:val="pl-PL"/>
        </w:rPr>
      </w:r>
    </w:p>
    <w:p>
      <w:pPr>
        <w:pStyle w:val="Bodytext32"/>
        <w:shd w:val="clear" w:color="auto" w:fill="auto"/>
        <w:tabs>
          <w:tab w:val="left" w:pos="567" w:leader="none"/>
        </w:tabs>
        <w:spacing w:lineRule="auto" w:line="240" w:before="0" w:after="0"/>
        <w:ind w:right="20" w:hanging="0"/>
        <w:rPr/>
      </w:pPr>
      <w:r>
        <w:rPr>
          <w:i/>
          <w:color w:val="FF0000"/>
          <w:sz w:val="16"/>
          <w:szCs w:val="16"/>
        </w:rPr>
        <w:tab/>
        <w:tab/>
        <w:tab/>
      </w:r>
      <w:r>
        <w:rPr>
          <w:i/>
          <w:color w:val="FF0000"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>
      <w:type w:val="nextPage"/>
      <w:pgSz w:w="11906" w:h="16838"/>
      <w:pgMar w:left="1418" w:right="510" w:header="0" w:top="510" w:footer="0" w:bottom="51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Unicode MS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sz w:val="20"/>
        <w:b/>
        <w:rFonts w:ascii="Times New Roman" w:hAnsi="Times New Roman"/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pl-PL" w:bidi="ar-SA"/>
    </w:rPr>
  </w:style>
  <w:style w:type="paragraph" w:styleId="Nagwek1">
    <w:name w:val="Heading 1"/>
    <w:basedOn w:val="Normal"/>
    <w:link w:val="Nagwek1Znak"/>
    <w:uiPriority w:val="9"/>
    <w:qFormat/>
    <w:rsid w:val="003d0843"/>
    <w:pPr>
      <w:keepNext w:val="true"/>
      <w:keepLines/>
      <w:spacing w:lineRule="auto" w:line="276"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val="pl-PL"/>
    </w:rPr>
  </w:style>
  <w:style w:type="paragraph" w:styleId="Nagwek3">
    <w:name w:val="Heading 3"/>
    <w:basedOn w:val="Normal"/>
    <w:link w:val="Nagwek3Znak"/>
    <w:uiPriority w:val="9"/>
    <w:qFormat/>
    <w:rsid w:val="003d0843"/>
    <w:pPr>
      <w:spacing w:beforeAutospacing="1" w:afterAutospacing="1"/>
      <w:outlineLvl w:val="2"/>
    </w:pPr>
    <w:rPr>
      <w:rFonts w:ascii="Times New Roman" w:hAnsi="Times New Roman" w:eastAsia="Times New Roman" w:cs="Times New Roman"/>
      <w:b/>
      <w:bCs/>
      <w:color w:val="00000A"/>
      <w:sz w:val="27"/>
      <w:szCs w:val="27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rPr>
      <w:color w:val="0066CC"/>
      <w:u w:val="single"/>
    </w:rPr>
  </w:style>
  <w:style w:type="character" w:styleId="Bodytext4" w:customStyle="1">
    <w:name w:val="Body text (4)_"/>
    <w:link w:val="Bodytext4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41" w:customStyle="1">
    <w:name w:val="Body text (4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" w:customStyle="1">
    <w:name w:val="Body text (2)_"/>
    <w:link w:val="Bodytext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Bodytext2105ptBold" w:customStyle="1">
    <w:name w:val="Body text (2) + 10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" w:customStyle="1">
    <w:name w:val="Body text_"/>
    <w:link w:val="Tekstpodstawowy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Tekstpodstawowy1" w:customStyle="1">
    <w:name w:val="Tekst podstawowy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" w:customStyle="1">
    <w:name w:val="Heading #2_"/>
    <w:link w:val="Heading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95pt" w:customStyle="1">
    <w:name w:val="Heading #2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" w:customStyle="1">
    <w:name w:val="Body text (3)_"/>
    <w:link w:val="Bodytext3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" w:customStyle="1">
    <w:name w:val="Body text (3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95ptItalic" w:customStyle="1">
    <w:name w:val="Body text (3) + 9;5 pt;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1" w:customStyle="1">
    <w:name w:val="Heading #1_"/>
    <w:link w:val="Heading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2"/>
      <w:szCs w:val="22"/>
    </w:rPr>
  </w:style>
  <w:style w:type="character" w:styleId="Heading21" w:customStyle="1">
    <w:name w:val="Heading #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2" w:customStyle="1">
    <w:name w:val="Tekst podstawowy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31" w:customStyle="1">
    <w:name w:val="Body text (3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  <w:u w:val="single"/>
    </w:rPr>
  </w:style>
  <w:style w:type="character" w:styleId="Bodytext3Bold" w:customStyle="1">
    <w:name w:val="Body text (3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Bodytext395ptBold" w:customStyle="1">
    <w:name w:val="Body text (3) + 9;5 pt;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Heading22" w:customStyle="1">
    <w:name w:val="Heading #2 (2)_"/>
    <w:link w:val="Heading2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Heading2295pt" w:customStyle="1">
    <w:name w:val="Heading #2 (2) + 9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Italic" w:customStyle="1">
    <w:name w:val="Body text +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Bold" w:customStyle="1">
    <w:name w:val="Body text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105pt" w:customStyle="1">
    <w:name w:val="Body text + 10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3" w:customStyle="1">
    <w:name w:val="Tekst podstawowy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Heading22Bold" w:customStyle="1">
    <w:name w:val="Heading #2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4" w:customStyle="1">
    <w:name w:val="Tekst podstawowy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5" w:customStyle="1">
    <w:name w:val="Tekst podstawowy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6" w:customStyle="1">
    <w:name w:val="Tekst podstawowy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2NotItalic" w:customStyle="1">
    <w:name w:val="Body text (2) + 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2105ptNotItalic" w:customStyle="1">
    <w:name w:val="Body text (2) + 10;5 pt;Not Italic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1"/>
      <w:szCs w:val="21"/>
    </w:rPr>
  </w:style>
  <w:style w:type="character" w:styleId="Tekstpodstawowy7" w:customStyle="1">
    <w:name w:val="Tekst podstawowy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Tekstpodstawowy8" w:customStyle="1">
    <w:name w:val="Tekst podstawowy8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19"/>
      <w:szCs w:val="19"/>
      <w:u w:val="single"/>
    </w:rPr>
  </w:style>
  <w:style w:type="character" w:styleId="BodytextSpacing3pt" w:customStyle="1">
    <w:name w:val="Body text + Spacing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70"/>
      <w:sz w:val="19"/>
      <w:szCs w:val="19"/>
    </w:rPr>
  </w:style>
  <w:style w:type="character" w:styleId="Bodytext4NotBold" w:customStyle="1">
    <w:name w:val="Body text (4) + Not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PodtytuZnak" w:customStyle="1">
    <w:name w:val="Podtytuł Znak"/>
    <w:link w:val="Podtytu"/>
    <w:qFormat/>
    <w:rsid w:val="009c36eb"/>
    <w:rPr>
      <w:rFonts w:ascii="Cambria" w:hAnsi="Cambria"/>
      <w:sz w:val="24"/>
      <w:szCs w:val="24"/>
      <w:lang w:val="pl-PL"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Annotationreference">
    <w:name w:val="annotation reference"/>
    <w:semiHidden/>
    <w:qFormat/>
    <w:rsid w:val="0050503e"/>
    <w:rPr>
      <w:sz w:val="16"/>
      <w:szCs w:val="16"/>
    </w:rPr>
  </w:style>
  <w:style w:type="character" w:styleId="Footnotereference">
    <w:name w:val="footnote reference"/>
    <w:semiHidden/>
    <w:qFormat/>
    <w:rsid w:val="0050503e"/>
    <w:rPr>
      <w:vertAlign w:val="superscript"/>
    </w:rPr>
  </w:style>
  <w:style w:type="character" w:styleId="Nagwek1Znak" w:customStyle="1">
    <w:name w:val="Nagłówek 1 Znak"/>
    <w:link w:val="Nagwek1"/>
    <w:uiPriority w:val="9"/>
    <w:qFormat/>
    <w:rsid w:val="003d0843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Nagwek3Znak" w:customStyle="1">
    <w:name w:val="Nagłówek 3 Znak"/>
    <w:link w:val="Nagwek3"/>
    <w:uiPriority w:val="9"/>
    <w:qFormat/>
    <w:rsid w:val="003d0843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ListLabel1" w:customStyle="1">
    <w:name w:val="ListLabel 1"/>
    <w:qFormat/>
    <w:rPr>
      <w:rFonts w:ascii="Times New Roman" w:hAnsi="Times New Roman"/>
      <w:b/>
      <w:color w:val="00000A"/>
      <w:sz w:val="20"/>
    </w:rPr>
  </w:style>
  <w:style w:type="character" w:styleId="ListLabel2" w:customStyle="1">
    <w:name w:val="ListLabel 2"/>
    <w:qFormat/>
    <w:rPr>
      <w:rFonts w:ascii="Times New Roman" w:hAnsi="Times New Roman"/>
      <w:b/>
      <w:color w:val="00000A"/>
      <w:sz w:val="20"/>
    </w:rPr>
  </w:style>
  <w:style w:type="character" w:styleId="ListLabel3" w:customStyle="1">
    <w:name w:val="ListLabel 3"/>
    <w:qFormat/>
    <w:rPr>
      <w:rFonts w:ascii="Times New Roman" w:hAnsi="Times New Roman"/>
      <w:b/>
      <w:color w:val="00000A"/>
      <w:sz w:val="20"/>
    </w:rPr>
  </w:style>
  <w:style w:type="character" w:styleId="ListLabel4">
    <w:name w:val="ListLabel 4"/>
    <w:qFormat/>
    <w:rPr>
      <w:rFonts w:ascii="Times New Roman" w:hAnsi="Times New Roman"/>
      <w:b/>
      <w:color w:val="00000A"/>
      <w:sz w:val="20"/>
    </w:rPr>
  </w:style>
  <w:style w:type="character" w:styleId="ListLabel5">
    <w:name w:val="ListLabel 5"/>
    <w:qFormat/>
    <w:rPr>
      <w:rFonts w:ascii="Times New Roman" w:hAnsi="Times New Roman"/>
      <w:b/>
      <w:color w:val="00000A"/>
      <w:sz w:val="20"/>
    </w:rPr>
  </w:style>
  <w:style w:type="character" w:styleId="ListLabel6">
    <w:name w:val="ListLabel 6"/>
    <w:qFormat/>
    <w:rPr>
      <w:rFonts w:ascii="Times New Roman" w:hAnsi="Times New Roman"/>
      <w:b/>
      <w:color w:val="00000A"/>
      <w:sz w:val="20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42" w:customStyle="1">
    <w:name w:val="Body text (4)"/>
    <w:basedOn w:val="Normal"/>
    <w:link w:val="Bodytext4"/>
    <w:qFormat/>
    <w:pPr>
      <w:shd w:val="clear" w:color="auto" w:fill="FFFFFF"/>
      <w:spacing w:lineRule="exact" w:line="226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Bodytext21" w:customStyle="1">
    <w:name w:val="Body text (2)"/>
    <w:basedOn w:val="Normal"/>
    <w:link w:val="Bodytext2"/>
    <w:qFormat/>
    <w:pPr>
      <w:shd w:val="clear" w:color="auto" w:fill="FFFFFF"/>
      <w:spacing w:lineRule="exact" w:line="326"/>
      <w:ind w:hanging="2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Tekstpodstawowy9" w:customStyle="1">
    <w:name w:val="Tekst podstawowy9"/>
    <w:basedOn w:val="Normal"/>
    <w:link w:val="Bodytext"/>
    <w:qFormat/>
    <w:pPr>
      <w:shd w:val="clear" w:color="auto" w:fill="FFFFFF"/>
      <w:spacing w:before="0" w:after="360"/>
      <w:ind w:hanging="300"/>
      <w:jc w:val="right"/>
    </w:pPr>
    <w:rPr>
      <w:rFonts w:ascii="Times New Roman" w:hAnsi="Times New Roman" w:eastAsia="Times New Roman" w:cs="Times New Roman"/>
      <w:color w:val="00000A"/>
      <w:sz w:val="19"/>
      <w:szCs w:val="19"/>
      <w:lang w:val="x-none" w:eastAsia="x-none"/>
    </w:rPr>
  </w:style>
  <w:style w:type="paragraph" w:styleId="Heading23" w:customStyle="1">
    <w:name w:val="Heading #2"/>
    <w:basedOn w:val="Normal"/>
    <w:link w:val="Heading2"/>
    <w:qFormat/>
    <w:pPr>
      <w:shd w:val="clear" w:color="auto" w:fill="FFFFFF"/>
      <w:spacing w:before="360" w:after="120"/>
      <w:ind w:hanging="360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Bodytext32" w:customStyle="1">
    <w:name w:val="Body text (3)"/>
    <w:basedOn w:val="Normal"/>
    <w:link w:val="Bodytext3"/>
    <w:qFormat/>
    <w:pPr>
      <w:shd w:val="clear" w:color="auto" w:fill="FFFFFF"/>
      <w:spacing w:lineRule="exact" w:line="293" w:before="120" w:after="0"/>
      <w:ind w:hanging="420"/>
      <w:jc w:val="both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Heading11" w:customStyle="1">
    <w:name w:val="Heading #1"/>
    <w:basedOn w:val="Normal"/>
    <w:link w:val="Heading1"/>
    <w:qFormat/>
    <w:pPr>
      <w:shd w:val="clear" w:color="auto" w:fill="FFFFFF"/>
      <w:spacing w:before="1260" w:after="300"/>
      <w:outlineLvl w:val="0"/>
    </w:pPr>
    <w:rPr>
      <w:rFonts w:ascii="Times New Roman" w:hAnsi="Times New Roman" w:eastAsia="Times New Roman" w:cs="Times New Roman"/>
      <w:color w:val="00000A"/>
      <w:sz w:val="22"/>
      <w:szCs w:val="22"/>
      <w:lang w:val="x-none" w:eastAsia="x-none"/>
    </w:rPr>
  </w:style>
  <w:style w:type="paragraph" w:styleId="Heading221" w:customStyle="1">
    <w:name w:val="Heading #2 (2)"/>
    <w:basedOn w:val="Normal"/>
    <w:link w:val="Heading22"/>
    <w:qFormat/>
    <w:pPr>
      <w:shd w:val="clear" w:color="auto" w:fill="FFFFFF"/>
      <w:spacing w:lineRule="exact" w:line="317"/>
      <w:jc w:val="both"/>
      <w:outlineLvl w:val="1"/>
    </w:pPr>
    <w:rPr>
      <w:rFonts w:ascii="Times New Roman" w:hAnsi="Times New Roman" w:eastAsia="Times New Roman" w:cs="Times New Roman"/>
      <w:color w:val="00000A"/>
      <w:sz w:val="21"/>
      <w:szCs w:val="21"/>
      <w:lang w:val="x-none" w:eastAsia="x-none"/>
    </w:rPr>
  </w:style>
  <w:style w:type="paragraph" w:styleId="Podtytu">
    <w:name w:val="Subtitle"/>
    <w:basedOn w:val="Normal"/>
    <w:link w:val="PodtytuZnak"/>
    <w:qFormat/>
    <w:rsid w:val="009c36eb"/>
    <w:pPr>
      <w:spacing w:before="0" w:after="60"/>
      <w:jc w:val="center"/>
      <w:outlineLvl w:val="1"/>
    </w:pPr>
    <w:rPr>
      <w:rFonts w:ascii="Cambria" w:hAnsi="Cambria"/>
      <w:color w:val="00000A"/>
      <w:lang w:val="pl-PL"/>
    </w:rPr>
  </w:style>
  <w:style w:type="paragraph" w:styleId="NormalWeb">
    <w:name w:val="Normal (Web)"/>
    <w:basedOn w:val="Normal"/>
    <w:uiPriority w:val="99"/>
    <w:unhideWhenUsed/>
    <w:qFormat/>
    <w:rsid w:val="00515b0f"/>
    <w:pPr>
      <w:spacing w:beforeAutospacing="1" w:afterAutospacing="1"/>
    </w:pPr>
    <w:rPr>
      <w:rFonts w:ascii="Times New Roman" w:hAnsi="Times New Roman" w:eastAsia="Calibri" w:cs="Times New Roman"/>
      <w:color w:val="00000A"/>
      <w:lang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67b6"/>
    <w:pPr/>
    <w:rPr>
      <w:rFonts w:ascii="Tahoma" w:hAnsi="Tahoma" w:cs="Times New Roman"/>
      <w:sz w:val="16"/>
      <w:szCs w:val="16"/>
      <w:lang w:eastAsia="x-none"/>
    </w:rPr>
  </w:style>
  <w:style w:type="paragraph" w:styleId="Annotationtext">
    <w:name w:val="annotation text"/>
    <w:basedOn w:val="Normal"/>
    <w:semiHidden/>
    <w:qFormat/>
    <w:rsid w:val="0050503e"/>
    <w:pPr/>
    <w:rPr>
      <w:sz w:val="20"/>
      <w:szCs w:val="20"/>
    </w:rPr>
  </w:style>
  <w:style w:type="paragraph" w:styleId="Annotationsubject">
    <w:name w:val="annotation subject"/>
    <w:basedOn w:val="Annotationtext"/>
    <w:semiHidden/>
    <w:qFormat/>
    <w:rsid w:val="0050503e"/>
    <w:pPr/>
    <w:rPr>
      <w:b/>
      <w:bCs/>
    </w:rPr>
  </w:style>
  <w:style w:type="paragraph" w:styleId="Footnotetext">
    <w:name w:val="footnote text"/>
    <w:basedOn w:val="Normal"/>
    <w:semiHidden/>
    <w:qFormat/>
    <w:rsid w:val="0050503e"/>
    <w:pPr/>
    <w:rPr>
      <w:sz w:val="20"/>
      <w:szCs w:val="20"/>
    </w:rPr>
  </w:style>
  <w:style w:type="paragraph" w:styleId="NoSpacing">
    <w:name w:val="No Spacing"/>
    <w:uiPriority w:val="1"/>
    <w:qFormat/>
    <w:rsid w:val="00db0ea5"/>
    <w:pPr>
      <w:widowControl/>
      <w:bidi w:val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pl" w:eastAsia="pl-PL" w:bidi="ar-SA"/>
    </w:rPr>
  </w:style>
  <w:style w:type="paragraph" w:styleId="ListParagraph">
    <w:name w:val="List Paragraph"/>
    <w:basedOn w:val="Normal"/>
    <w:uiPriority w:val="34"/>
    <w:qFormat/>
    <w:rsid w:val="003d0843"/>
    <w:pPr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color w:val="00000A"/>
      <w:sz w:val="22"/>
      <w:szCs w:val="22"/>
      <w:lang w:val="pl-PL"/>
    </w:rPr>
  </w:style>
  <w:style w:type="paragraph" w:styleId="Tekstwstpniesformatowany" w:customStyle="1">
    <w:name w:val="Tekst wstępnie sformatowany"/>
    <w:basedOn w:val="Normal"/>
    <w:qFormat/>
    <w:pPr/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a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EDB1F-9A9A-4250-ACF8-1080DE2A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LibreOffice/5.4.3.2$Windows_x86 LibreOffice_project/92a7159f7e4af62137622921e809f8546db437e5</Application>
  <Pages>4</Pages>
  <Words>1241</Words>
  <Characters>8550</Characters>
  <CharactersWithSpaces>9589</CharactersWithSpaces>
  <Paragraphs>268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2024-09-30T09:47:00Z</dcterms:created>
  <dc:creator>Grzesiek</dc:creator>
  <dc:description/>
  <dc:language>pl-PL</dc:language>
  <cp:lastModifiedBy/>
  <cp:lastPrinted>2016-12-21T07:36:00Z</cp:lastPrinted>
  <dcterms:modified xsi:type="dcterms:W3CDTF">2025-04-01T10:39:36Z</dcterms:modified>
  <cp:revision>5</cp:revision>
  <dc:subject/>
  <dc:title>Microsoft Word - przewodnik_po_sylabusie_ug-1.doc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