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3D8" w:rsidRDefault="000D03D8" w:rsidP="000D03D8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bookmarkStart w:id="0" w:name="_GoBack"/>
      <w:bookmarkEnd w:id="0"/>
    </w:p>
    <w:p w:rsidR="000D03D8" w:rsidRDefault="000D03D8" w:rsidP="000D03D8">
      <w:pPr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KARTA PRZEDMIOTU</w:t>
      </w:r>
    </w:p>
    <w:p w:rsidR="000D03D8" w:rsidRDefault="000D03D8" w:rsidP="000D03D8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1264"/>
        <w:gridCol w:w="6129"/>
      </w:tblGrid>
      <w:tr w:rsidR="000D03D8" w:rsidTr="000D03D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03D8" w:rsidRDefault="00A53973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0413.8.ADM1P.B/C29</w:t>
            </w:r>
            <w:r w:rsidR="000D03D8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.PH</w:t>
            </w:r>
          </w:p>
        </w:tc>
      </w:tr>
      <w:tr w:rsidR="000D03D8" w:rsidTr="000D03D8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Prawo handlowe</w:t>
            </w:r>
          </w:p>
          <w:p w:rsidR="000D03D8" w:rsidRDefault="000D0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Commercial law</w:t>
            </w:r>
          </w:p>
        </w:tc>
      </w:tr>
      <w:tr w:rsidR="000D03D8" w:rsidTr="000D03D8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0D03D8" w:rsidRDefault="000D03D8" w:rsidP="000D03D8">
      <w:pPr>
        <w:rPr>
          <w:rFonts w:ascii="Times New Roman" w:hAnsi="Times New Roman"/>
          <w:b/>
          <w:color w:val="auto"/>
        </w:rPr>
      </w:pPr>
    </w:p>
    <w:p w:rsidR="000D03D8" w:rsidRDefault="000D03D8" w:rsidP="000D03D8">
      <w:pPr>
        <w:numPr>
          <w:ilvl w:val="0"/>
          <w:numId w:val="1"/>
        </w:numPr>
        <w:ind w:left="720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9"/>
        <w:gridCol w:w="5159"/>
      </w:tblGrid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367B27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stacjonarne</w:t>
            </w:r>
          </w:p>
        </w:tc>
      </w:tr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522C9B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D8" w:rsidRDefault="0067671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</w:t>
            </w:r>
            <w:r w:rsidR="00FE7D3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reneusz.krawczynski@ujk.edu.pl</w:t>
            </w:r>
          </w:p>
        </w:tc>
      </w:tr>
    </w:tbl>
    <w:p w:rsidR="000D03D8" w:rsidRDefault="000D03D8" w:rsidP="000D03D8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D03D8" w:rsidRDefault="000D03D8" w:rsidP="000D03D8">
      <w:pPr>
        <w:numPr>
          <w:ilvl w:val="0"/>
          <w:numId w:val="1"/>
        </w:numPr>
        <w:ind w:left="720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5128"/>
      </w:tblGrid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  <w:r w:rsidR="00A4667D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</w:t>
            </w:r>
          </w:p>
        </w:tc>
      </w:tr>
      <w:tr w:rsidR="000D03D8" w:rsidTr="000D03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Od studentów uczestniczących w zajęciach z prawa handlowego oczekuje się znajomości pojęć i konstrukcji prawnych prawa cywilnego</w:t>
            </w:r>
          </w:p>
        </w:tc>
      </w:tr>
    </w:tbl>
    <w:p w:rsidR="000D03D8" w:rsidRDefault="000D03D8" w:rsidP="000D03D8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D03D8" w:rsidRDefault="000D03D8" w:rsidP="000D03D8">
      <w:pPr>
        <w:numPr>
          <w:ilvl w:val="0"/>
          <w:numId w:val="1"/>
        </w:numPr>
        <w:ind w:left="720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D03D8" w:rsidTr="000D03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</w:t>
            </w:r>
            <w:r w:rsidR="001500D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tradycyjny.</w:t>
            </w:r>
          </w:p>
        </w:tc>
      </w:tr>
      <w:tr w:rsidR="000D03D8" w:rsidTr="000D03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Zajęcia w </w:t>
            </w:r>
            <w:r w:rsidR="00522C9B">
              <w:rPr>
                <w:sz w:val="18"/>
                <w:szCs w:val="18"/>
                <w:lang w:eastAsia="pl-PL"/>
              </w:rPr>
              <w:t>pomieszczeniac</w:t>
            </w:r>
            <w:r w:rsidR="001500D8">
              <w:rPr>
                <w:sz w:val="18"/>
                <w:szCs w:val="18"/>
                <w:lang w:eastAsia="pl-PL"/>
              </w:rPr>
              <w:t>h Filii.</w:t>
            </w:r>
          </w:p>
        </w:tc>
      </w:tr>
      <w:tr w:rsidR="000D03D8" w:rsidTr="000D03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</w:t>
            </w:r>
          </w:p>
        </w:tc>
      </w:tr>
      <w:tr w:rsidR="000D03D8" w:rsidTr="000D03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FE7D31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Prezentacja multimedialna, praca z tekstami ustaw, wykład konwersatoryjny</w:t>
            </w:r>
            <w:r w:rsidR="00980AFC">
              <w:rPr>
                <w:sz w:val="18"/>
                <w:szCs w:val="18"/>
                <w:lang w:eastAsia="en-US"/>
              </w:rPr>
              <w:t>, dyskusja, rozwiązywanie kazusów</w:t>
            </w:r>
            <w:r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  <w:tr w:rsidR="000D03D8" w:rsidTr="000D03D8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1. K. Bilewska, A. Chłopeck</w:t>
            </w:r>
            <w:r w:rsidR="003A0417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i, Prawo handlowe, Warszawa 2022.</w:t>
            </w:r>
          </w:p>
          <w:p w:rsidR="001E4616" w:rsidRPr="00DF505C" w:rsidRDefault="00DF732F" w:rsidP="00980AFC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2.</w:t>
            </w:r>
            <w:r w:rsidR="00DF505C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A. Kidyba. Prawo handlowe. Warszawa. 2023.</w:t>
            </w:r>
          </w:p>
        </w:tc>
      </w:tr>
      <w:tr w:rsidR="000D03D8" w:rsidTr="000D03D8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Pr="00980AFC" w:rsidRDefault="00DF732F" w:rsidP="00980AFC">
            <w:pPr>
              <w:numPr>
                <w:ilvl w:val="0"/>
                <w:numId w:val="2"/>
              </w:numPr>
              <w:tabs>
                <w:tab w:val="num" w:pos="252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A. Koch. Prawo spółek hanlowych. Warszawa. 2021</w:t>
            </w:r>
          </w:p>
          <w:p w:rsidR="000D03D8" w:rsidRDefault="00980AFC">
            <w:pPr>
              <w:numPr>
                <w:ilvl w:val="0"/>
                <w:numId w:val="2"/>
              </w:numPr>
              <w:tabs>
                <w:tab w:val="num" w:pos="252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W. K</w:t>
            </w:r>
            <w:r w:rsidR="00DF732F"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atner. Prawo gospodarcze i hanlowe. Warszawa. 2020</w:t>
            </w:r>
          </w:p>
          <w:p w:rsidR="000D03D8" w:rsidRDefault="000D03D8">
            <w:pPr>
              <w:numPr>
                <w:ilvl w:val="0"/>
                <w:numId w:val="2"/>
              </w:numPr>
              <w:tabs>
                <w:tab w:val="num" w:pos="252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J. Jacyszyn (red.), Umowy handlowe w pytaniach i odpowiedziach ,LexisNexis. Warszawa  2013</w:t>
            </w:r>
          </w:p>
        </w:tc>
      </w:tr>
    </w:tbl>
    <w:p w:rsidR="000D03D8" w:rsidRDefault="000D03D8" w:rsidP="000D03D8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D03D8" w:rsidRDefault="000D03D8" w:rsidP="000D03D8">
      <w:pPr>
        <w:numPr>
          <w:ilvl w:val="0"/>
          <w:numId w:val="1"/>
        </w:numPr>
        <w:ind w:left="720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0D03D8" w:rsidTr="000D03D8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D8" w:rsidRDefault="000D03D8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0D03D8" w:rsidRDefault="000D03D8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0D03D8" w:rsidRPr="0075264D" w:rsidRDefault="000D03D8" w:rsidP="0075264D">
            <w:pPr>
              <w:spacing w:line="276" w:lineRule="auto"/>
              <w:ind w:left="72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C1. </w:t>
            </w:r>
            <w:r w:rsidR="00F140B0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P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rzedstawienie</w:t>
            </w:r>
            <w:r w:rsidR="0075264D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studentom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instytucji prawa handlowego, ze szczególnym uwzględnieniem prawa spółek  handlowych, sposobu regulacji analizowanych instytucji, jak również pełnionych przez nie funkcji.</w:t>
            </w:r>
          </w:p>
          <w:p w:rsidR="000D03D8" w:rsidRPr="0075264D" w:rsidRDefault="000D03D8" w:rsidP="00F140B0">
            <w:pPr>
              <w:spacing w:line="276" w:lineRule="auto"/>
              <w:ind w:left="72"/>
              <w:jc w:val="both"/>
              <w:rPr>
                <w:rStyle w:val="wrtext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>C2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 xml:space="preserve">. </w:t>
            </w:r>
            <w:r w:rsidR="00F140B0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W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yjaśnienie</w:t>
            </w:r>
            <w:r w:rsidR="0075264D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studentom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podstawowych pojęć i instytucji szeroko rozumianego prawa handloweg</w:t>
            </w:r>
            <w:r w:rsidR="00F140B0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o, do których zaliczyć należy w 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szczególności zagadnienia z zakresu prawa spółek handlowych, prawa upadłościowego i restukturyzacyjnego, prawa papierów wartościowych oraz prawa rynku kapitałowego, a także prawa umów handlowych. </w:t>
            </w:r>
          </w:p>
          <w:p w:rsidR="000D03D8" w:rsidRPr="00F140B0" w:rsidRDefault="000D03D8" w:rsidP="00F140B0">
            <w:pPr>
              <w:spacing w:line="276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>C3.</w:t>
            </w:r>
            <w:r w:rsidR="00F140B0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O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mówienie</w:t>
            </w:r>
            <w:r w:rsidR="0075264D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ze studentami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="0075264D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wskazanych zagadnień poprzedzonych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wprowadzeniem do tematyki prawa handlowego, obejmującym w szczególności analizę zagadnień dotyczących pojęcia przedsiębiorcy, form prawnych, w jakich przedsiębiorcy mogą występować w obrocie gospodarczym, rejestracji i ewidencji przedsiębiorców oraz czynności handlowych.</w:t>
            </w:r>
          </w:p>
        </w:tc>
      </w:tr>
      <w:tr w:rsidR="000D03D8" w:rsidTr="000D03D8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D8" w:rsidRPr="00F140B0" w:rsidRDefault="000D03D8">
            <w:pPr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F140B0" w:rsidRPr="001E4616" w:rsidRDefault="00F140B0" w:rsidP="00F140B0">
            <w:pPr>
              <w:spacing w:line="276" w:lineRule="auto"/>
              <w:ind w:left="72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1E4616" w:rsidRPr="001E4616" w:rsidRDefault="001E4616" w:rsidP="001E46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      Wykład:</w:t>
            </w:r>
          </w:p>
          <w:p w:rsidR="000D03D8" w:rsidRPr="001E4616" w:rsidRDefault="000D03D8" w:rsidP="001E4616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 w:rsidRPr="001E4616"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Pojęcie prawa handlowego jego miejsce w systemie prawa. Prawo stanowione a prawo stosowane. Podstawowe pojęcia- narzędzia przydatne do budowy normy prawa stosowanego (stosunku prawnego). źródła prawa handlowego.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Pojęcie przedsiębiorcy, przedsiębiorstwa i konsumenta.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Uzyskanie statusu przedsiębiorcy - rejestracja i ewidencja.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Występowanie przedsiębiorcy w obrocie.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lastRenderedPageBreak/>
              <w:t>Spółki jako główna prawna forma prowadzenia działalności gospodarczej.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Rola organów w spółkach kapitałowych ze szczególnym uwzględnieniem zgromadzeń wspólników.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Umowy handlowe. Pojęcie, cechy, szczególne zasady zawierania umów handlowych.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Umowa sprzedaży pomiędzy przedsiębiorcami i z udziałem konsumenta.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Pośrednictwo w obrocie handlowym, typy umów, pośrednictwo w obrocie międzynarodowym.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Umowy transportowe, umowy bankowe.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Nowe postacie umów w obrocie gospodarczym: franchising, factoring, consulting, sponsoring.</w:t>
            </w:r>
          </w:p>
          <w:p w:rsidR="000D03D8" w:rsidRDefault="000D03D8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Prawo upadłościowe i naprawcze w systemie prawa handlowego. Rodzaje upadłości.</w:t>
            </w:r>
          </w:p>
          <w:p w:rsidR="000D03D8" w:rsidRDefault="000D03D8">
            <w:pPr>
              <w:spacing w:line="276" w:lineRule="auto"/>
              <w:ind w:left="498" w:hanging="498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D03D8" w:rsidRDefault="000D03D8" w:rsidP="000D03D8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D03D8" w:rsidRDefault="000D03D8" w:rsidP="000D03D8">
      <w:pPr>
        <w:numPr>
          <w:ilvl w:val="1"/>
          <w:numId w:val="3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D03D8" w:rsidTr="0023074B">
        <w:trPr>
          <w:gridAfter w:val="1"/>
          <w:wAfter w:w="34" w:type="dxa"/>
          <w:cantSplit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3D8" w:rsidRDefault="000D03D8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>definiuje podstawowe pojęcia związane z podejmowaniem i prowadzeniem działalności gospodarczej w różnych formach organizacyjno-prawnych a także zna i opisuje zasady rejestrowania podmiotów gospodarczych oraz prowadzenia publicznych rejestrów dla przedsiębiorców.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ADM1P_W01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3D8" w:rsidRDefault="000D0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>ma uporządkowaną wiedzę o tworzeniu, organizacji i funkcjonowaniu spółek handlowych</w:t>
            </w:r>
          </w:p>
          <w:p w:rsidR="000D03D8" w:rsidRDefault="000D03D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ADM1P_W02</w:t>
            </w:r>
          </w:p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ADM1P_W03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 xml:space="preserve">potrafi ocenić zgodność z prawem i prawidłowość standardowych projektów umów spółek handlowych oraz kontraktów gospodarczych, jak również dokonać analizy podstawowych rodzajów uchwał wspólników i </w:t>
            </w:r>
            <w:r w:rsidR="0023074B"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>organów spółek handlowych pod ką</w:t>
            </w:r>
            <w:r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>tem ich zgodności z prawem oraz potencjalnego ryzyka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ADM1P_U01</w:t>
            </w:r>
          </w:p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ADM1P_U02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>potrafi rozważyć okoliczności stanu faktycznego i zaproponować rodzaj oraz treść umowy dla zrealizowania interesów klienta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ADM1P_U03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cstheme="minorBidi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>posiada umiejętność  przedstawienia argumentacji i uzasadnienia dla podjęcia określonych działań prawnych z zakresu prawa handlowego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ADM1P_U05</w:t>
            </w:r>
          </w:p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ADM1P_U06</w:t>
            </w:r>
          </w:p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ADM1P_U07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0D03D8" w:rsidTr="0023074B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auto"/>
                <w:sz w:val="18"/>
                <w:szCs w:val="18"/>
                <w:lang w:eastAsia="en-US"/>
              </w:rPr>
              <w:t>ma świadomość znaczenia komunikacji interpersonalnej z ekspertami z dziedziny rachunkowości, sprawozdawczości finansowej, zarzadzania, planowania i podatków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oraz rozumie potrzebę stałego uczenia się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ADM1P_K05</w:t>
            </w:r>
          </w:p>
        </w:tc>
      </w:tr>
      <w:tr w:rsidR="000D03D8" w:rsidTr="000D03D8">
        <w:trPr>
          <w:gridBefore w:val="1"/>
          <w:wBefore w:w="35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3D8" w:rsidRDefault="000D03D8">
            <w:pPr>
              <w:numPr>
                <w:ilvl w:val="1"/>
                <w:numId w:val="4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0D03D8" w:rsidTr="000D03D8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0D03D8" w:rsidTr="0023074B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521105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0D03D8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0D03D8" w:rsidTr="0023074B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0D03D8" w:rsidTr="0023074B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0D03D8" w:rsidTr="000D03D8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5B2544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D03D8" w:rsidTr="000D03D8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23074B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5B2544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D03D8" w:rsidTr="000D03D8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23074B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5B2544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D03D8" w:rsidTr="000D03D8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23074B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5B2544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D03D8" w:rsidTr="000D03D8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23074B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5B2544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23074B" w:rsidTr="006B3EDD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74B" w:rsidRDefault="0023074B" w:rsidP="006B3EDD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0D03D8" w:rsidRDefault="000D03D8" w:rsidP="000D03D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0D03D8" w:rsidRDefault="000D03D8" w:rsidP="000D03D8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0D03D8" w:rsidTr="00FE7D31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numPr>
                <w:ilvl w:val="1"/>
                <w:numId w:val="5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0D03D8" w:rsidTr="00FE7D31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0D03D8" w:rsidTr="00FE7D3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3D8" w:rsidRDefault="000D03D8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lastRenderedPageBreak/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75264D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D03D8" w:rsidTr="00FE7D31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75264D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D03D8" w:rsidTr="00FE7D31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</w:t>
            </w:r>
            <w:r w:rsidR="0075264D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D03D8" w:rsidTr="00FE7D31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75264D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D03D8" w:rsidTr="00FE7D31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75264D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:rsidR="000D03D8" w:rsidRDefault="000D03D8" w:rsidP="000D03D8">
      <w:pPr>
        <w:rPr>
          <w:rFonts w:ascii="Times New Roman" w:hAnsi="Times New Roman"/>
          <w:color w:val="auto"/>
        </w:rPr>
      </w:pPr>
    </w:p>
    <w:p w:rsidR="000D03D8" w:rsidRDefault="000D03D8" w:rsidP="000D03D8">
      <w:pPr>
        <w:numPr>
          <w:ilvl w:val="0"/>
          <w:numId w:val="4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0D03D8" w:rsidTr="00FE7D31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</w:t>
            </w:r>
            <w:r w:rsidR="000D03D8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1E46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1E46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FE7D31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1E46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1E46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0D03D8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D8" w:rsidRDefault="000D03D8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0D03D8" w:rsidTr="00FE7D31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D03D8" w:rsidRDefault="000D03D8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D03D8" w:rsidRDefault="00FE7D31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1</w:t>
            </w:r>
          </w:p>
        </w:tc>
      </w:tr>
    </w:tbl>
    <w:p w:rsidR="000D03D8" w:rsidRDefault="000D03D8" w:rsidP="000D03D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0D03D8" w:rsidRDefault="000D03D8" w:rsidP="000D03D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0D03D8" w:rsidRDefault="000D03D8" w:rsidP="000D03D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p w:rsidR="000D03D8" w:rsidRDefault="000D03D8" w:rsidP="000D03D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D03D8" w:rsidRDefault="000D03D8" w:rsidP="000D03D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D03D8" w:rsidRDefault="000D03D8" w:rsidP="000D03D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0D03D8" w:rsidRDefault="000D03D8" w:rsidP="000D03D8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</w:p>
    <w:p w:rsidR="000D03D8" w:rsidRDefault="000D03D8" w:rsidP="000D03D8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</w:p>
    <w:p w:rsidR="000D03D8" w:rsidRDefault="000D03D8" w:rsidP="000D03D8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</w:p>
    <w:p w:rsidR="00DF65FD" w:rsidRDefault="00DF65FD"/>
    <w:sectPr w:rsidR="00DF6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2D9609C5"/>
    <w:multiLevelType w:val="hybridMultilevel"/>
    <w:tmpl w:val="DDEC26F4"/>
    <w:lvl w:ilvl="0" w:tplc="809C41C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 Unicode MS" w:hint="default"/>
        <w:b w:val="0"/>
        <w:i w:val="0"/>
        <w:color w:val="00000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E5"/>
    <w:rsid w:val="000D03D8"/>
    <w:rsid w:val="001500D8"/>
    <w:rsid w:val="001E4616"/>
    <w:rsid w:val="0023074B"/>
    <w:rsid w:val="00367B27"/>
    <w:rsid w:val="003A0417"/>
    <w:rsid w:val="00521105"/>
    <w:rsid w:val="00522C9B"/>
    <w:rsid w:val="005B2544"/>
    <w:rsid w:val="00676712"/>
    <w:rsid w:val="0075264D"/>
    <w:rsid w:val="00980AFC"/>
    <w:rsid w:val="00A4667D"/>
    <w:rsid w:val="00A53973"/>
    <w:rsid w:val="00CE35E5"/>
    <w:rsid w:val="00DF505C"/>
    <w:rsid w:val="00DF65FD"/>
    <w:rsid w:val="00DF732F"/>
    <w:rsid w:val="00E22B8C"/>
    <w:rsid w:val="00F140B0"/>
    <w:rsid w:val="00FE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3D8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D03D8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0D03D8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0D03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D03D8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0D03D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D03D8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0D0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3D8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D03D8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0D03D8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0D03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D03D8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0D03D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D03D8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0D0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958</Words>
  <Characters>5753</Characters>
  <Application>Microsoft Office Word</Application>
  <DocSecurity>0</DocSecurity>
  <Lines>47</Lines>
  <Paragraphs>13</Paragraphs>
  <ScaleCrop>false</ScaleCrop>
  <Company>NSG Pilkington Group</Company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Krawczynski</dc:creator>
  <cp:lastModifiedBy>Renzamka</cp:lastModifiedBy>
  <cp:revision>2</cp:revision>
  <dcterms:created xsi:type="dcterms:W3CDTF">2024-06-04T13:09:00Z</dcterms:created>
  <dcterms:modified xsi:type="dcterms:W3CDTF">2024-06-04T13:09:00Z</dcterms:modified>
</cp:coreProperties>
</file>