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F02" w:rsidRDefault="000F6F02" w:rsidP="000F6F02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bookmarkStart w:id="0" w:name="_GoBack"/>
      <w:bookmarkEnd w:id="0"/>
      <w:r>
        <w:rPr>
          <w:b/>
          <w:i/>
        </w:rPr>
        <w:tab/>
      </w:r>
    </w:p>
    <w:p w:rsidR="000F6F02" w:rsidRDefault="000F6F02" w:rsidP="000F6F02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KARTA PRZEDMIOTU</w:t>
      </w:r>
    </w:p>
    <w:p w:rsidR="000F6F02" w:rsidRDefault="000F6F02" w:rsidP="000F6F02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3"/>
        <w:gridCol w:w="1271"/>
        <w:gridCol w:w="6124"/>
      </w:tblGrid>
      <w:tr w:rsidR="000F6F02" w:rsidTr="000F6F02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6F02" w:rsidRDefault="00025B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0413.8.ADM1P.B/C30</w:t>
            </w:r>
            <w:r w:rsidR="000F6F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.Ppod</w:t>
            </w:r>
          </w:p>
        </w:tc>
      </w:tr>
      <w:tr w:rsidR="000F6F02" w:rsidTr="000F6F02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Prawo podatkowe</w:t>
            </w:r>
          </w:p>
          <w:p w:rsidR="000F6F02" w:rsidRDefault="000F6F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en"/>
              </w:rPr>
              <w:t>Tax law</w:t>
            </w:r>
          </w:p>
        </w:tc>
      </w:tr>
      <w:tr w:rsidR="000F6F02" w:rsidTr="000F6F02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:rsidR="000F6F02" w:rsidRDefault="000F6F02" w:rsidP="000F6F02">
      <w:pPr>
        <w:rPr>
          <w:rFonts w:ascii="Times New Roman" w:hAnsi="Times New Roman" w:cs="Times New Roman"/>
          <w:b/>
          <w:color w:val="auto"/>
        </w:rPr>
      </w:pPr>
    </w:p>
    <w:p w:rsidR="000F6F02" w:rsidRDefault="000F6F02" w:rsidP="000F6F0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7"/>
        <w:gridCol w:w="4955"/>
      </w:tblGrid>
      <w:tr w:rsidR="000F6F02" w:rsidTr="000F6F02">
        <w:trPr>
          <w:trHeight w:val="284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F6F02" w:rsidTr="000F6F02">
        <w:trPr>
          <w:trHeight w:val="284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8213F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stacjonarne</w:t>
            </w:r>
          </w:p>
        </w:tc>
      </w:tr>
      <w:tr w:rsidR="000F6F02" w:rsidTr="000F6F02">
        <w:trPr>
          <w:trHeight w:val="284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pierwszego stopnia licencjackie</w:t>
            </w:r>
          </w:p>
        </w:tc>
      </w:tr>
      <w:tr w:rsidR="000F6F02" w:rsidTr="000F6F02">
        <w:trPr>
          <w:trHeight w:val="284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0F6F02" w:rsidTr="000F6F02">
        <w:trPr>
          <w:trHeight w:val="284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Ireneusz Krawczyński</w:t>
            </w:r>
          </w:p>
        </w:tc>
      </w:tr>
      <w:tr w:rsidR="000F6F02" w:rsidTr="000F6F02">
        <w:trPr>
          <w:trHeight w:val="284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 w:rsidP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02" w:rsidRPr="00AE3F3F" w:rsidRDefault="000F6F02" w:rsidP="000F6F0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AE3F3F">
              <w:rPr>
                <w:rFonts w:ascii="Times New Roman" w:hAnsi="Times New Roman"/>
                <w:sz w:val="18"/>
                <w:szCs w:val="18"/>
              </w:rPr>
              <w:t>ireneusz.krawczynski@ujk.edu.pl</w:t>
            </w:r>
          </w:p>
        </w:tc>
      </w:tr>
    </w:tbl>
    <w:p w:rsidR="000F6F02" w:rsidRDefault="000F6F02" w:rsidP="000F6F02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F6F02" w:rsidRDefault="000F6F02" w:rsidP="000F6F0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0"/>
        <w:gridCol w:w="5128"/>
      </w:tblGrid>
      <w:tr w:rsidR="000F6F02" w:rsidTr="000F6F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Pr="008213FB" w:rsidRDefault="000F6F0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213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0F6F02" w:rsidTr="000F6F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8213FB" w:rsidP="008213FB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studentów uczestniczących w zajęciach z prawa podatkowego wymaga się podstawowych zagadnień </w:t>
            </w:r>
            <w:r w:rsidR="000F6F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zakresu prawa cywilnego, prawa bankowego oraz prawa finansowego.</w:t>
            </w:r>
          </w:p>
        </w:tc>
      </w:tr>
    </w:tbl>
    <w:p w:rsidR="000F6F02" w:rsidRDefault="000F6F02" w:rsidP="000F6F02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F6F02" w:rsidRDefault="000F6F02" w:rsidP="000F6F0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F6F02" w:rsidTr="000F6F0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</w:t>
            </w:r>
            <w:r w:rsidR="008213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konwersatoryjny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ćwiczenia</w:t>
            </w:r>
          </w:p>
        </w:tc>
      </w:tr>
      <w:tr w:rsidR="000F6F02" w:rsidTr="000F6F0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Zajęcia w pomieszczenia</w:t>
            </w:r>
            <w:r w:rsidR="00CA3BF8">
              <w:rPr>
                <w:rFonts w:eastAsia="Calibri"/>
                <w:sz w:val="18"/>
                <w:szCs w:val="18"/>
              </w:rPr>
              <w:t>ch Filii.</w:t>
            </w:r>
          </w:p>
        </w:tc>
      </w:tr>
      <w:tr w:rsidR="000F6F02" w:rsidTr="000F6F0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oceną/egzamin</w:t>
            </w:r>
          </w:p>
        </w:tc>
      </w:tr>
      <w:tr w:rsidR="000F6F02" w:rsidTr="000F6F0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8213FB">
              <w:rPr>
                <w:sz w:val="18"/>
                <w:szCs w:val="18"/>
              </w:rPr>
              <w:t xml:space="preserve"> konwersatoryjny</w:t>
            </w:r>
            <w:r>
              <w:rPr>
                <w:sz w:val="18"/>
                <w:szCs w:val="18"/>
              </w:rPr>
              <w:t>, ćwiczenia przedmiotowe, dyskusja, rozwiązywanie kazusów, praca z ustawami.</w:t>
            </w:r>
          </w:p>
        </w:tc>
      </w:tr>
      <w:tr w:rsidR="000F6F02" w:rsidTr="000F6F0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D82F1F" w:rsidP="000F6F02">
            <w:pPr>
              <w:numPr>
                <w:ilvl w:val="0"/>
                <w:numId w:val="2"/>
              </w:numPr>
              <w:tabs>
                <w:tab w:val="left" w:pos="252"/>
              </w:tabs>
              <w:ind w:left="0" w:firstLine="0"/>
              <w:jc w:val="both"/>
              <w:rPr>
                <w:rStyle w:val="wrtext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R. Mastalski. Prawo podatkowe. C.H.BECK. Warszawa. 2023.</w:t>
            </w:r>
          </w:p>
          <w:p w:rsidR="000F6F02" w:rsidRPr="00D82F1F" w:rsidRDefault="00D82F1F" w:rsidP="00D82F1F">
            <w:pPr>
              <w:numPr>
                <w:ilvl w:val="0"/>
                <w:numId w:val="2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Gomułowicz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D. Mączyński. Podatki i prawo podatkowe. Wolters. Kluwer. Warszawa. 2023.</w:t>
            </w:r>
          </w:p>
        </w:tc>
      </w:tr>
      <w:tr w:rsidR="000F6F02" w:rsidTr="000F6F02">
        <w:trPr>
          <w:trHeight w:val="70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D82F1F">
            <w:pPr>
              <w:pStyle w:val="Nagwek1"/>
              <w:numPr>
                <w:ilvl w:val="0"/>
                <w:numId w:val="3"/>
              </w:numPr>
              <w:tabs>
                <w:tab w:val="left" w:pos="252"/>
              </w:tabs>
              <w:spacing w:before="0" w:after="0"/>
              <w:ind w:left="0" w:firstLine="0"/>
              <w:rPr>
                <w:rFonts w:ascii="Times New Roman" w:hAnsi="Times New Roman"/>
                <w:b w:val="0"/>
                <w:sz w:val="18"/>
                <w:szCs w:val="18"/>
                <w:lang w:val="pl-PL" w:eastAsia="pl-PL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  <w:szCs w:val="18"/>
                <w:lang w:val="pl-PL" w:eastAsia="pl-PL"/>
              </w:rPr>
              <w:t>P. Smoleń. Opracowanie zbiorowe.  Prawo podatkowe</w:t>
            </w:r>
            <w:r>
              <w:rPr>
                <w:rFonts w:ascii="Times New Roman" w:hAnsi="Times New Roman"/>
                <w:b w:val="0"/>
                <w:sz w:val="18"/>
                <w:szCs w:val="18"/>
                <w:lang w:val="pl-PL" w:eastAsia="pl-PL"/>
              </w:rPr>
              <w:t>, C.H.BECK. Warszawa 2023</w:t>
            </w:r>
            <w:r w:rsidR="000F6F02">
              <w:rPr>
                <w:rFonts w:ascii="Times New Roman" w:hAnsi="Times New Roman"/>
                <w:b w:val="0"/>
                <w:sz w:val="18"/>
                <w:szCs w:val="18"/>
                <w:lang w:val="pl-PL" w:eastAsia="pl-PL"/>
              </w:rPr>
              <w:t>.</w:t>
            </w:r>
          </w:p>
        </w:tc>
      </w:tr>
    </w:tbl>
    <w:p w:rsidR="000F6F02" w:rsidRDefault="000F6F02" w:rsidP="000F6F02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F6F02" w:rsidRPr="00B53F72" w:rsidRDefault="000F6F02" w:rsidP="00B53F72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53F72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0F6F02" w:rsidTr="000F6F02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6F02" w:rsidRPr="008213FB" w:rsidRDefault="000F6F02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8213FB" w:rsidRDefault="008213FB" w:rsidP="008213FB">
            <w:p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0F6F02" w:rsidRDefault="000F6F02" w:rsidP="008213FB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10154A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Z</w:t>
            </w: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apoznanie studentów z pojęciami materialnego prawa podatkowego oraz </w:t>
            </w:r>
            <w:r w:rsidR="0010154A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pojęciami z zakresu </w:t>
            </w: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ordynacji podatkowej. </w:t>
            </w:r>
          </w:p>
          <w:p w:rsidR="0010154A" w:rsidRDefault="000F6F02" w:rsidP="008213FB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C2. </w:t>
            </w:r>
            <w:r w:rsidR="0010154A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Zapoznanie studentów z podstawowymi konstrukcjami podatkowymi</w:t>
            </w: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0F6F02" w:rsidRDefault="0010154A" w:rsidP="008213FB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b/>
                <w:sz w:val="18"/>
                <w:szCs w:val="18"/>
              </w:rPr>
              <w:t xml:space="preserve">C.3 </w:t>
            </w: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Rozwijanie u studentów </w:t>
            </w:r>
            <w:r w:rsidR="000F6F02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 umiejętności w zakresie </w:t>
            </w: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za</w:t>
            </w:r>
            <w:r w:rsidR="000F6F02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stosowania regulacji podatkowych do konkretnych stanów faktycznych oraz posiada</w:t>
            </w: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nie świadomości</w:t>
            </w:r>
            <w:r w:rsidR="000F6F02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 roli pełnionej przez podatki w systemie finansowym.</w:t>
            </w:r>
          </w:p>
          <w:p w:rsidR="008213FB" w:rsidRDefault="008213FB" w:rsidP="008213FB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0F6F02" w:rsidTr="008213FB">
        <w:trPr>
          <w:trHeight w:val="69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Pr="008213FB" w:rsidRDefault="000F6F02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8213FB" w:rsidRDefault="008213FB" w:rsidP="008213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8213FB" w:rsidRPr="008213FB" w:rsidRDefault="008213FB" w:rsidP="008213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:rsidR="008213FB" w:rsidRDefault="008213FB" w:rsidP="008213FB">
            <w:p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0F6F02" w:rsidRDefault="000F6F02">
            <w:pPr>
              <w:spacing w:after="9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1. Konstrukcja prawna podatku: przedmiot, podmiot, podstawa opodatkowania, stawki podatkowe, ulgi i zwyżki podatkowe, system podatkowy, zasady podatkowe.</w:t>
            </w:r>
          </w:p>
          <w:p w:rsidR="000F6F02" w:rsidRDefault="000F6F02">
            <w:pPr>
              <w:spacing w:after="9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2. Ordynacja podatkowa. Powstawanie i wygasanie zobowiązań podatkowych. Zasady odpowiedzialności podatkowej. Postępowanie podatkowe. Formy egzekucji i zabezpieczenia zobowiązań podatkowych.</w:t>
            </w:r>
          </w:p>
          <w:p w:rsidR="000F6F02" w:rsidRDefault="000F6F02">
            <w:pPr>
              <w:spacing w:after="9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3. Podatek od towarów i usług. Pojęcia, sposób opodatkowania, powstanie obowiązku podatkowego. Szczególne regulacje podatkowe.</w:t>
            </w:r>
          </w:p>
          <w:p w:rsidR="000F6F02" w:rsidRDefault="000F6F02">
            <w:pPr>
              <w:spacing w:after="9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4. Podatki pośrednie. Podatek od gier oraz podatek akcyzowy. Pojęcia, obowiązek podatkowy, szczególny nadzór nad wyrobami akcyzowymi.</w:t>
            </w:r>
          </w:p>
          <w:p w:rsidR="000F6F02" w:rsidRDefault="000F6F02">
            <w:pPr>
              <w:spacing w:after="9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5. Podatek dochodowy od osób fizycznych. Dochód ze źródeł podatkowych, koszty uzyskania przychodów, rozwiązania prorodzinne i ulgi. Sposób rozliczenia podatku z wykorzystaniem płatników.</w:t>
            </w:r>
          </w:p>
          <w:p w:rsidR="000F6F02" w:rsidRDefault="000F6F02">
            <w:pPr>
              <w:spacing w:after="9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6. Ryczałt od przychodów ewidencjonowanych i karta podatkowa. Podatek tonażowy.</w:t>
            </w:r>
          </w:p>
          <w:p w:rsidR="000F6F02" w:rsidRDefault="000F6F02">
            <w:pPr>
              <w:spacing w:after="9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lastRenderedPageBreak/>
              <w:t>7. Podatek dochodowy od osób prawnych. Podatkowe grupy kapitałowe. Szczególne rozwiązania dla banków i ubezpieczycieli. Regulacje służące uniknięciu podwójnego opodatkowania międzynarodowego.</w:t>
            </w:r>
          </w:p>
          <w:p w:rsidR="000F6F02" w:rsidRDefault="000F6F02">
            <w:pPr>
              <w:spacing w:after="9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8. Podatki lokalne. Opodatkowanie majątku (podatek od nieruchomości, rolny i leśny), obrotu (podatek od czynności cywilnoprawnych) i nabycia majątku (podatek od spadków i darowizn). Podatek od środków transportowych. Opłaty lokalne.</w:t>
            </w:r>
          </w:p>
          <w:p w:rsidR="008213FB" w:rsidRDefault="008213FB">
            <w:pPr>
              <w:spacing w:after="9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  <w:p w:rsidR="008213FB" w:rsidRPr="008213FB" w:rsidRDefault="008213FB">
            <w:pPr>
              <w:spacing w:after="9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213FB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Ćwiczenia:</w:t>
            </w:r>
          </w:p>
          <w:p w:rsidR="008213FB" w:rsidRDefault="00551E42" w:rsidP="00551E42">
            <w:pPr>
              <w:pStyle w:val="Akapitzlist"/>
              <w:numPr>
                <w:ilvl w:val="3"/>
                <w:numId w:val="2"/>
              </w:numPr>
              <w:spacing w:after="90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Praktyczne zastosowanie ordynacji podatkowej.</w:t>
            </w:r>
          </w:p>
          <w:p w:rsidR="00551E42" w:rsidRDefault="00551E42" w:rsidP="00551E42">
            <w:pPr>
              <w:pStyle w:val="Akapitzlist"/>
              <w:numPr>
                <w:ilvl w:val="3"/>
                <w:numId w:val="2"/>
              </w:numPr>
              <w:spacing w:after="90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Wypełnianie deklaracji podatkowych.</w:t>
            </w:r>
          </w:p>
          <w:p w:rsidR="00551E42" w:rsidRDefault="00551E42" w:rsidP="00551E42">
            <w:pPr>
              <w:pStyle w:val="Akapitzlist"/>
              <w:numPr>
                <w:ilvl w:val="3"/>
                <w:numId w:val="2"/>
              </w:numPr>
              <w:spacing w:after="90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Wypełnianie zeznań podatkowych.</w:t>
            </w:r>
          </w:p>
          <w:p w:rsidR="00551E42" w:rsidRDefault="00551E42" w:rsidP="00551E42">
            <w:pPr>
              <w:pStyle w:val="Akapitzlist"/>
              <w:numPr>
                <w:ilvl w:val="3"/>
                <w:numId w:val="2"/>
              </w:numPr>
              <w:spacing w:after="90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Praktyczne zastosowanie prawa podatkowego w działalności gospodarczej.</w:t>
            </w:r>
          </w:p>
          <w:p w:rsidR="00551E42" w:rsidRDefault="00551E42" w:rsidP="00551E42">
            <w:pPr>
              <w:pStyle w:val="Akapitzlist"/>
              <w:numPr>
                <w:ilvl w:val="3"/>
                <w:numId w:val="2"/>
              </w:numPr>
              <w:spacing w:after="90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Praktyczne zastosowanie prawa podatkowego w spółkach prawa cywilnego i spółkach prawa handlowego. </w:t>
            </w:r>
          </w:p>
          <w:p w:rsidR="00551E42" w:rsidRPr="00551E42" w:rsidRDefault="00551E42" w:rsidP="00551E42">
            <w:pPr>
              <w:pStyle w:val="Akapitzlist"/>
              <w:numPr>
                <w:ilvl w:val="3"/>
                <w:numId w:val="2"/>
              </w:numPr>
              <w:spacing w:after="90"/>
              <w:ind w:left="0" w:firstLine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Praktyczne zastosowanie prawa podatkowego w życiu osoby fizycznej.</w:t>
            </w:r>
          </w:p>
        </w:tc>
      </w:tr>
    </w:tbl>
    <w:p w:rsidR="000F6F02" w:rsidRDefault="000F6F02" w:rsidP="000F6F02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F6F02" w:rsidRDefault="000F6F02" w:rsidP="000F6F02">
      <w:pPr>
        <w:numPr>
          <w:ilvl w:val="1"/>
          <w:numId w:val="4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uczenia się </w:t>
      </w: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F6F02" w:rsidTr="000F6F02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6F02" w:rsidRDefault="000F6F0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 podstawową wiedzę o publicznoprawnych obowiązkach finansowych prywatnych uczestników obrotu gospodarczego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ADM1P_W03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zna publicznoprawne obowiązki związane z prowadzeniem działalności gospodarczej, w tym wykorzystywanie technologii informatycznych do celów ewidencyjnych i rozliczeniowych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ADM1P_W06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  <w:lang w:bidi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posiada wiedzę na temat metod badawczych, narzędzi, technik dotyczących dziedzin ekonomicznych, w tym oceny zakresu i skutków obowiązków prawnofinansowych spoczywających na podmiotach prywatnych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ADM1P_W04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jest przygotowany do podjęcia pracy w administracji podmiotów gospodarczych, w tym potrafi wykorzystać technologie informatycznych do celów ewidencyjnych i rozliczeniowych     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br/>
              <w:t>w zakresie obciążeń prawnofinansowych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ADM1P_U03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  <w:lang w:bidi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potrafi wyjaśnić rolę i wpływ prawa podatkowego, na organizacje państwa, społeczeństwa </w:t>
            </w: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br/>
              <w:t>i gospodarki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umie wykorzystać podstawowe wiadomości teoretyczne i dostępne źródła informacji zdobytych za pomocą narzędzi informatycznych i dzięki temu objaśnić zjawiska i procesy społeczne </w:t>
            </w: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br/>
              <w:t>i gospodarcze w sferze finansowej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ADM1P_U11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posługuje się specjalistycznym językiem administracyjnym, prawniczym, ekonomicznym </w:t>
            </w: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br/>
              <w:t xml:space="preserve">i informatycznym dla objaśnienia zagadnień prawnofinansowych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ADM1P_U07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zauważa ograniczenia w funkcjonowaniu wolnego rynku i konieczność regulacji prawnofinansowych oraz potrafi działać w sposób przedsiębiorczy, realizując obowiązki publicznoprawne jako obywatel, przedsiębiorca lub pracownik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ADM1P_K04</w:t>
            </w:r>
          </w:p>
        </w:tc>
      </w:tr>
      <w:tr w:rsidR="000F6F02" w:rsidTr="000F6F02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 świadomość obywatelskiego obowiązku ponoszenia danin publicznych oraz zna zasady korzystania z publicznych narzędzi informatycznych, w tym portali podatkowych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 ubezpieczeniowych,  ułatwiających realizację obowiązków publicznoprawnych przedsiębiorców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ADM1P_K07</w:t>
            </w: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F02" w:rsidRDefault="000F6F02">
            <w:pPr>
              <w:numPr>
                <w:ilvl w:val="1"/>
                <w:numId w:val="5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Inne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6F02" w:rsidTr="000F6F02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0F6F02" w:rsidRDefault="000F6F02" w:rsidP="000F6F02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:rsidR="000F6F02" w:rsidRDefault="000F6F02" w:rsidP="000F6F02">
      <w:pPr>
        <w:rPr>
          <w:rFonts w:ascii="Times New Roman" w:hAnsi="Times New Roman" w:cs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0F6F02" w:rsidTr="000F6F0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numPr>
                <w:ilvl w:val="1"/>
                <w:numId w:val="6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0F6F02" w:rsidTr="000F6F02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F6F02" w:rsidTr="000F6F0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6F02" w:rsidRDefault="000F6F02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60-65% ogólnej liczby punktów do zdobycia za kolokwium zaliczeniowe.</w:t>
            </w:r>
          </w:p>
        </w:tc>
      </w:tr>
      <w:tr w:rsidR="000F6F02" w:rsidTr="000F6F02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zaliczeniowe.</w:t>
            </w:r>
          </w:p>
        </w:tc>
      </w:tr>
      <w:tr w:rsidR="000F6F02" w:rsidTr="000F6F02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71-80% ogólnej liczby punktów do zdobycia za kolokwium zaliczeniowe.</w:t>
            </w:r>
          </w:p>
        </w:tc>
      </w:tr>
      <w:tr w:rsidR="000F6F02" w:rsidTr="000F6F02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81-85% ogólnej liczby punktów do zdobycia za kolokwium zaliczeniowe.</w:t>
            </w:r>
          </w:p>
        </w:tc>
      </w:tr>
      <w:tr w:rsidR="000F6F02" w:rsidTr="000F6F02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86%-100% ogólnej liczby punktów do zdobycia za kolokwium zaliczeniowe.</w:t>
            </w:r>
          </w:p>
        </w:tc>
      </w:tr>
      <w:tr w:rsidR="000F6F02" w:rsidTr="000F6F02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6F02" w:rsidRDefault="000F6F02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60-65% ogólnej liczby punktów do zdobycia za kolokwium zaliczeniowe oraz</w:t>
            </w:r>
            <w:r w:rsidR="008213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mała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0F6F02" w:rsidTr="000F6F02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</w:t>
            </w:r>
            <w:r w:rsidR="008213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0F6F02" w:rsidTr="000F6F02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71-80% ogólnej liczby punktów do zdobycia za kolokwium zaliczeniowe oraz</w:t>
            </w:r>
            <w:r w:rsidR="008213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0F6F02" w:rsidTr="000F6F02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81-85% ogólnej liczby punktów do zdobycia za kolokwium zaliczeniowe oraz</w:t>
            </w:r>
            <w:r w:rsidR="008213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 się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0F6F02" w:rsidTr="000F6F02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86%-100% ogólnej liczby punktów do zdobycia za kolokwium zaliczeniowe oraz</w:t>
            </w:r>
            <w:r w:rsidR="008213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 się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</w:tbl>
    <w:p w:rsidR="000F6F02" w:rsidRDefault="000F6F02" w:rsidP="000F6F02">
      <w:pPr>
        <w:rPr>
          <w:rFonts w:ascii="Times New Roman" w:hAnsi="Times New Roman" w:cs="Times New Roman"/>
          <w:color w:val="auto"/>
        </w:rPr>
      </w:pPr>
    </w:p>
    <w:p w:rsidR="000F6F02" w:rsidRDefault="000F6F02" w:rsidP="000F6F02">
      <w:pPr>
        <w:numPr>
          <w:ilvl w:val="0"/>
          <w:numId w:val="5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0F6F02" w:rsidTr="000F6F0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F6F02" w:rsidTr="000F6F0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0F6F02" w:rsidTr="000F6F0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0F6F02" w:rsidTr="000F6F0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CD0E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CD0E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0F6F02" w:rsidTr="000F6F0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D0E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CD0E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0F6F02" w:rsidTr="000F6F0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CD0E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CD0E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0F6F02" w:rsidTr="000F6F0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6F02" w:rsidRDefault="000F6F0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6F02" w:rsidRPr="00CD0E07" w:rsidRDefault="00CD0E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CD0E0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6F02" w:rsidRDefault="000F6F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0F6F02" w:rsidTr="000F6F0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CD0E0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CD0E0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0F6F02" w:rsidTr="000F6F0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0F6F0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F02" w:rsidRDefault="00CD0E0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0F6F02" w:rsidTr="000F6F0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0F6F02" w:rsidTr="000F6F0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F6F02" w:rsidRDefault="000F6F02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F6F02" w:rsidRDefault="000F6F02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:rsidR="000F6F02" w:rsidRDefault="000F6F02" w:rsidP="000F6F02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:rsidR="000F6F02" w:rsidRDefault="000F6F02" w:rsidP="000F6F0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 podpisy osób prowadzących przedmiot w danym roku akademickim)</w:t>
      </w:r>
    </w:p>
    <w:p w:rsidR="000F6F02" w:rsidRDefault="000F6F02" w:rsidP="000F6F02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  <w:t xml:space="preserve">             </w:t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3276DB" w:rsidRDefault="003276DB"/>
    <w:sectPr w:rsidR="00327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2BAD4E5A"/>
    <w:multiLevelType w:val="hybridMultilevel"/>
    <w:tmpl w:val="0F7ECE9A"/>
    <w:lvl w:ilvl="0" w:tplc="80EC76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>
    <w:nsid w:val="3C3E540C"/>
    <w:multiLevelType w:val="multilevel"/>
    <w:tmpl w:val="107A773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5">
    <w:nsid w:val="70635F01"/>
    <w:multiLevelType w:val="hybridMultilevel"/>
    <w:tmpl w:val="2CF665D6"/>
    <w:lvl w:ilvl="0" w:tplc="16E2278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B0"/>
    <w:rsid w:val="00025BF1"/>
    <w:rsid w:val="000F6F02"/>
    <w:rsid w:val="0010154A"/>
    <w:rsid w:val="003276DB"/>
    <w:rsid w:val="00551E42"/>
    <w:rsid w:val="008213FB"/>
    <w:rsid w:val="00A5788D"/>
    <w:rsid w:val="00B401B0"/>
    <w:rsid w:val="00B53F72"/>
    <w:rsid w:val="00CA3BF8"/>
    <w:rsid w:val="00CD0E07"/>
    <w:rsid w:val="00D8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F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6F02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6F02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Hipercze">
    <w:name w:val="Hyperlink"/>
    <w:semiHidden/>
    <w:unhideWhenUsed/>
    <w:rsid w:val="000F6F02"/>
    <w:rPr>
      <w:b/>
      <w:bCs/>
      <w:strike w:val="0"/>
      <w:dstrike w:val="0"/>
      <w:color w:val="008000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0F6F02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customStyle="1" w:styleId="Bodytext2">
    <w:name w:val="Body text (2)_"/>
    <w:link w:val="Bodytext20"/>
    <w:locked/>
    <w:rsid w:val="000F6F0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F6F0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0F6F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0F6F0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wrtext">
    <w:name w:val="wrtext"/>
    <w:basedOn w:val="Domylnaczcionkaakapitu"/>
    <w:rsid w:val="000F6F02"/>
  </w:style>
  <w:style w:type="paragraph" w:styleId="Akapitzlist">
    <w:name w:val="List Paragraph"/>
    <w:basedOn w:val="Normalny"/>
    <w:uiPriority w:val="34"/>
    <w:qFormat/>
    <w:rsid w:val="008213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3F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F72"/>
    <w:rPr>
      <w:rFonts w:ascii="Segoe UI" w:eastAsia="Arial Unicode MS" w:hAnsi="Segoe UI" w:cs="Segoe UI"/>
      <w:color w:val="000000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F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6F02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6F02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Hipercze">
    <w:name w:val="Hyperlink"/>
    <w:semiHidden/>
    <w:unhideWhenUsed/>
    <w:rsid w:val="000F6F02"/>
    <w:rPr>
      <w:b/>
      <w:bCs/>
      <w:strike w:val="0"/>
      <w:dstrike w:val="0"/>
      <w:color w:val="008000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0F6F02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customStyle="1" w:styleId="Bodytext2">
    <w:name w:val="Body text (2)_"/>
    <w:link w:val="Bodytext20"/>
    <w:locked/>
    <w:rsid w:val="000F6F0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F6F0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0F6F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0F6F0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wrtext">
    <w:name w:val="wrtext"/>
    <w:basedOn w:val="Domylnaczcionkaakapitu"/>
    <w:rsid w:val="000F6F02"/>
  </w:style>
  <w:style w:type="paragraph" w:styleId="Akapitzlist">
    <w:name w:val="List Paragraph"/>
    <w:basedOn w:val="Normalny"/>
    <w:uiPriority w:val="34"/>
    <w:qFormat/>
    <w:rsid w:val="008213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3F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F72"/>
    <w:rPr>
      <w:rFonts w:ascii="Segoe UI" w:eastAsia="Arial Unicode MS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NSG Pilkington Group</Company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Krawczynski</dc:creator>
  <cp:lastModifiedBy>Renzamka</cp:lastModifiedBy>
  <cp:revision>2</cp:revision>
  <cp:lastPrinted>2024-02-27T10:13:00Z</cp:lastPrinted>
  <dcterms:created xsi:type="dcterms:W3CDTF">2024-06-04T13:09:00Z</dcterms:created>
  <dcterms:modified xsi:type="dcterms:W3CDTF">2024-06-04T13:09:00Z</dcterms:modified>
</cp:coreProperties>
</file>