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950" w:rsidRDefault="00B20950" w:rsidP="00B20950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:rsidR="00B20950" w:rsidRDefault="00B20950" w:rsidP="00B20950">
      <w:pPr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t>KARTA PRZEDMIOTU</w:t>
      </w:r>
    </w:p>
    <w:p w:rsidR="00B20950" w:rsidRDefault="00B20950" w:rsidP="00B20950">
      <w:pPr>
        <w:jc w:val="center"/>
        <w:rPr>
          <w:rFonts w:ascii="Times New Roman" w:hAnsi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3"/>
        <w:gridCol w:w="1254"/>
        <w:gridCol w:w="5945"/>
      </w:tblGrid>
      <w:tr w:rsidR="00B20950" w:rsidTr="00B20950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0413.8.ADM1P.B/C17.PMP</w:t>
            </w:r>
          </w:p>
        </w:tc>
      </w:tr>
      <w:tr w:rsidR="00B20950" w:rsidTr="00B20950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val="fr-CH"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val="fr-CH" w:eastAsia="en-US"/>
              </w:rPr>
              <w:t>Prawo międzynarodowe publiczne</w:t>
            </w:r>
          </w:p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val="fr-CH"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Public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international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law</w:t>
            </w:r>
          </w:p>
        </w:tc>
      </w:tr>
      <w:tr w:rsidR="00B20950" w:rsidTr="00B20950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angielskim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val="fr-CH" w:eastAsia="en-US"/>
              </w:rPr>
            </w:pPr>
          </w:p>
        </w:tc>
      </w:tr>
    </w:tbl>
    <w:p w:rsidR="00B20950" w:rsidRDefault="00B20950" w:rsidP="00B20950">
      <w:pPr>
        <w:rPr>
          <w:rFonts w:ascii="Times New Roman" w:hAnsi="Times New Roman"/>
          <w:b/>
          <w:color w:val="auto"/>
        </w:rPr>
      </w:pPr>
    </w:p>
    <w:p w:rsidR="00B20950" w:rsidRDefault="00B20950" w:rsidP="00B20950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8"/>
        <w:gridCol w:w="5024"/>
      </w:tblGrid>
      <w:tr w:rsidR="00B20950" w:rsidTr="00B20950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Administracja</w:t>
            </w:r>
          </w:p>
        </w:tc>
      </w:tr>
      <w:tr w:rsidR="00B20950" w:rsidTr="00B20950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St</w:t>
            </w:r>
            <w:r w:rsidR="00C82134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udia stacjonarne</w:t>
            </w:r>
          </w:p>
        </w:tc>
      </w:tr>
      <w:tr w:rsidR="00B20950" w:rsidTr="00B20950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Studia pierwszego stopnia licencjackie</w:t>
            </w:r>
          </w:p>
        </w:tc>
      </w:tr>
      <w:tr w:rsidR="00B20950" w:rsidTr="00B20950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Praktyczny</w:t>
            </w:r>
          </w:p>
        </w:tc>
      </w:tr>
      <w:tr w:rsidR="00B20950" w:rsidTr="00B20950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ind w:left="340" w:hanging="340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D36916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Mgr Ireneusz Krawczyński</w:t>
            </w:r>
          </w:p>
        </w:tc>
      </w:tr>
      <w:tr w:rsidR="00B20950" w:rsidTr="00B20950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50" w:rsidRDefault="00B87B38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ireneusz.krawczynski@ujk.edu.pl</w:t>
            </w:r>
          </w:p>
        </w:tc>
      </w:tr>
    </w:tbl>
    <w:p w:rsidR="00B20950" w:rsidRDefault="00B20950" w:rsidP="00B20950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B20950" w:rsidRDefault="00B20950" w:rsidP="00B20950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5012"/>
      </w:tblGrid>
      <w:tr w:rsidR="00C82134" w:rsidTr="00B20950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Polski</w:t>
            </w:r>
          </w:p>
        </w:tc>
      </w:tr>
      <w:tr w:rsidR="00C82134" w:rsidTr="00B20950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C82134" w:rsidP="00C82134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Od studentów uczestniczących w zajęciach z prawa międzynarodowego publicznego wymaga się znajomości</w:t>
            </w:r>
            <w:r w:rsidR="00B2095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zagadnień z zakresu wstępu do prawoznawstwa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oraz prawa cywilnego.</w:t>
            </w:r>
          </w:p>
        </w:tc>
      </w:tr>
    </w:tbl>
    <w:p w:rsidR="00B20950" w:rsidRDefault="00B20950" w:rsidP="00B20950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B20950" w:rsidRDefault="00B20950" w:rsidP="00B20950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B20950" w:rsidTr="00B20950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Wykład</w:t>
            </w:r>
            <w:r w:rsidR="00C82134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konwersatoryjny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, ćwiczenia</w:t>
            </w:r>
          </w:p>
        </w:tc>
      </w:tr>
      <w:tr w:rsidR="00B20950" w:rsidTr="00B20950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Zajęcia w pom</w:t>
            </w:r>
            <w:r w:rsidR="00D36916">
              <w:rPr>
                <w:sz w:val="18"/>
                <w:szCs w:val="18"/>
                <w:lang w:eastAsia="pl-PL"/>
              </w:rPr>
              <w:t>ieszczeniac</w:t>
            </w:r>
            <w:r w:rsidR="00871150">
              <w:rPr>
                <w:sz w:val="18"/>
                <w:szCs w:val="18"/>
                <w:lang w:eastAsia="pl-PL"/>
              </w:rPr>
              <w:t>h Filii.</w:t>
            </w:r>
          </w:p>
        </w:tc>
      </w:tr>
      <w:tr w:rsidR="00B20950" w:rsidTr="00B20950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Zaliczenie z oceną, egzamin</w:t>
            </w:r>
          </w:p>
        </w:tc>
      </w:tr>
      <w:tr w:rsidR="00B20950" w:rsidTr="00B20950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87B38">
            <w:pPr>
              <w:pStyle w:val="NormalnyWeb"/>
              <w:spacing w:before="0" w:beforeAutospacing="0" w:after="0" w:afterAutospacing="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Wykład konwersatoryjny, dyskusja, ćwiczenia konwersatoryjne, rozwiązywania kazusów, prezentacja multimedialna. </w:t>
            </w:r>
          </w:p>
        </w:tc>
      </w:tr>
      <w:tr w:rsidR="00B20950" w:rsidTr="00B20950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Prawo międzynarodowe publiczne w zarysie, W. Góralc</w:t>
            </w:r>
            <w:r w:rsidR="00513341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 xml:space="preserve">zyk, S. Sawicki, </w:t>
            </w:r>
            <w:proofErr w:type="spellStart"/>
            <w:r w:rsidR="00513341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LexisNexis</w:t>
            </w:r>
            <w:proofErr w:type="spellEnd"/>
            <w:r w:rsidR="00513341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 xml:space="preserve"> 2023</w:t>
            </w:r>
            <w:r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.</w:t>
            </w:r>
          </w:p>
          <w:p w:rsidR="00B20950" w:rsidRDefault="00B20950" w:rsidP="009C63FC">
            <w:pPr>
              <w:pStyle w:val="Akapitzlist"/>
              <w:keepNext/>
              <w:numPr>
                <w:ilvl w:val="0"/>
                <w:numId w:val="2"/>
              </w:numPr>
              <w:spacing w:line="276" w:lineRule="auto"/>
              <w:ind w:right="-108"/>
              <w:outlineLvl w:val="1"/>
              <w:rPr>
                <w:rFonts w:eastAsia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en-US"/>
              </w:rPr>
              <w:t xml:space="preserve">Prawo </w:t>
            </w:r>
            <w:r w:rsidR="009C63FC">
              <w:rPr>
                <w:rFonts w:ascii="Times New Roman" w:eastAsia="Times New Roman" w:hAnsi="Times New Roman"/>
                <w:iCs/>
                <w:sz w:val="18"/>
                <w:szCs w:val="18"/>
                <w:lang w:eastAsia="en-US"/>
              </w:rPr>
              <w:t>międzynarodowe publiczne. J. Barcik. C.H. Beck. 2019</w:t>
            </w:r>
          </w:p>
        </w:tc>
      </w:tr>
      <w:tr w:rsidR="00B20950" w:rsidTr="00B20950">
        <w:trPr>
          <w:trHeight w:val="284"/>
        </w:trPr>
        <w:tc>
          <w:tcPr>
            <w:tcW w:w="3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en-US"/>
              </w:rPr>
              <w:t xml:space="preserve">W. Czapliński, A. </w:t>
            </w:r>
            <w:proofErr w:type="spellStart"/>
            <w:r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en-US"/>
              </w:rPr>
              <w:t>Wyrozumska</w:t>
            </w:r>
            <w:proofErr w:type="spellEnd"/>
            <w:r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en-US"/>
              </w:rPr>
              <w:t>, Prawo międzynarodowe publiczne, Warszawa 2004 .</w:t>
            </w:r>
          </w:p>
          <w:p w:rsidR="00B20950" w:rsidRDefault="00B20950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2. A. Łazowski, A. Zawidzka, Prawo międzynarodowe publiczne, Warszawa 2008.</w:t>
            </w:r>
          </w:p>
        </w:tc>
      </w:tr>
    </w:tbl>
    <w:p w:rsidR="00B20950" w:rsidRDefault="00B20950" w:rsidP="00B20950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B20950" w:rsidRDefault="00B20950" w:rsidP="00B20950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B20950" w:rsidTr="00B2095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950" w:rsidRDefault="00B20950">
            <w:pPr>
              <w:numPr>
                <w:ilvl w:val="1"/>
                <w:numId w:val="1"/>
              </w:numPr>
              <w:spacing w:line="276" w:lineRule="auto"/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Cele przedmiotu 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(z uwzględnieniem formy zajęć)</w:t>
            </w:r>
          </w:p>
          <w:p w:rsidR="00B20950" w:rsidRDefault="00B20950">
            <w:pPr>
              <w:spacing w:line="276" w:lineRule="auto"/>
              <w:ind w:left="498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  <w:t xml:space="preserve">C1. </w:t>
            </w:r>
            <w:r w:rsidR="00F47854">
              <w:rPr>
                <w:rFonts w:ascii="Times New Roman" w:hAnsi="Times New Roman"/>
                <w:sz w:val="18"/>
                <w:szCs w:val="18"/>
                <w:lang w:eastAsia="en-US"/>
              </w:rPr>
              <w:t>Zapoznanie studentów z wiedzą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z zakresu prawa międzynarodowego publicznego</w:t>
            </w:r>
          </w:p>
          <w:p w:rsidR="00B20950" w:rsidRPr="00F47854" w:rsidRDefault="00B20950">
            <w:pPr>
              <w:spacing w:line="276" w:lineRule="auto"/>
            </w:pPr>
            <w:r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  <w:t xml:space="preserve">C2. </w:t>
            </w:r>
            <w:r w:rsidR="00F47854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Zapoznanie studentów z</w:t>
            </w:r>
            <w:r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 xml:space="preserve"> terminologią </w:t>
            </w:r>
            <w:r w:rsidR="00F47854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prawnomiędzynarodową oraz wiedzą pozwalającą</w:t>
            </w:r>
            <w:r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 xml:space="preserve"> w podstawowym zakresie analizować i oceniać postępowanie członków społeczności międzynarodowej z perspektywy prawa międzynarodowego</w:t>
            </w:r>
            <w:r w:rsidR="00F47854">
              <w:rPr>
                <w:rStyle w:val="wrtext"/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</w:tr>
      <w:tr w:rsidR="00B20950" w:rsidTr="00B2095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38" w:rsidRDefault="00B20950" w:rsidP="008D1B9F">
            <w:pPr>
              <w:numPr>
                <w:ilvl w:val="1"/>
                <w:numId w:val="1"/>
              </w:numPr>
              <w:spacing w:line="276" w:lineRule="auto"/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Treści programowe 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(z uwzględnieniem formy zajęć)</w:t>
            </w:r>
          </w:p>
          <w:p w:rsidR="008D1B9F" w:rsidRPr="008D1B9F" w:rsidRDefault="008D1B9F" w:rsidP="00F47854">
            <w:pPr>
              <w:spacing w:line="276" w:lineRule="auto"/>
              <w:ind w:left="498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  <w:p w:rsidR="00B20950" w:rsidRDefault="00B20950">
            <w:pPr>
              <w:autoSpaceDE w:val="0"/>
              <w:autoSpaceDN w:val="0"/>
              <w:adjustRightInd w:val="0"/>
              <w:spacing w:line="276" w:lineRule="auto"/>
              <w:ind w:left="214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B87B38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Wykład</w:t>
            </w:r>
          </w:p>
          <w:p w:rsidR="00B87B38" w:rsidRPr="00B87B38" w:rsidRDefault="00B87B38">
            <w:pPr>
              <w:autoSpaceDE w:val="0"/>
              <w:autoSpaceDN w:val="0"/>
              <w:adjustRightInd w:val="0"/>
              <w:spacing w:line="276" w:lineRule="auto"/>
              <w:ind w:left="214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  <w:p w:rsidR="00B20950" w:rsidRDefault="00B20950">
            <w:pPr>
              <w:autoSpaceDE w:val="0"/>
              <w:autoSpaceDN w:val="0"/>
              <w:adjustRightInd w:val="0"/>
              <w:spacing w:line="276" w:lineRule="auto"/>
              <w:ind w:left="214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Pojęcie i cechy prawa międzynarodowego. </w:t>
            </w:r>
          </w:p>
          <w:p w:rsidR="00B20950" w:rsidRDefault="00B20950">
            <w:pPr>
              <w:autoSpaceDE w:val="0"/>
              <w:autoSpaceDN w:val="0"/>
              <w:adjustRightInd w:val="0"/>
              <w:spacing w:line="276" w:lineRule="auto"/>
              <w:ind w:left="214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Hierarchia norm prawa międzynarodowego. </w:t>
            </w:r>
          </w:p>
          <w:p w:rsidR="00B20950" w:rsidRDefault="00B20950">
            <w:pPr>
              <w:autoSpaceDE w:val="0"/>
              <w:autoSpaceDN w:val="0"/>
              <w:adjustRightInd w:val="0"/>
              <w:spacing w:line="276" w:lineRule="auto"/>
              <w:ind w:left="214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Prawo międzynarodowe a prawo wewnętrzne, źródła prawa międzynarodowego a źródła wyrokowania Międzynarodowego Trybunału Sprawiedliwości. </w:t>
            </w:r>
          </w:p>
          <w:p w:rsidR="00B20950" w:rsidRDefault="00B20950">
            <w:pPr>
              <w:autoSpaceDE w:val="0"/>
              <w:autoSpaceDN w:val="0"/>
              <w:adjustRightInd w:val="0"/>
              <w:spacing w:line="276" w:lineRule="auto"/>
              <w:ind w:left="214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Podmioty prawa międzynarodowego: państwo i podmioty prawa międzynarodowego inne niż państwa. </w:t>
            </w:r>
          </w:p>
          <w:p w:rsidR="00B20950" w:rsidRDefault="00B20950">
            <w:pPr>
              <w:autoSpaceDE w:val="0"/>
              <w:autoSpaceDN w:val="0"/>
              <w:adjustRightInd w:val="0"/>
              <w:spacing w:line="276" w:lineRule="auto"/>
              <w:ind w:left="214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Odpowiedzialność międzynarodowa państwa  i odpowiedzialność  międzynarodowa jednostek</w:t>
            </w:r>
          </w:p>
          <w:p w:rsidR="00B87B38" w:rsidRDefault="00B87B38">
            <w:pPr>
              <w:autoSpaceDE w:val="0"/>
              <w:autoSpaceDN w:val="0"/>
              <w:adjustRightInd w:val="0"/>
              <w:spacing w:line="276" w:lineRule="auto"/>
              <w:ind w:left="214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8D1B9F" w:rsidRDefault="008D1B9F">
            <w:pPr>
              <w:autoSpaceDE w:val="0"/>
              <w:autoSpaceDN w:val="0"/>
              <w:adjustRightInd w:val="0"/>
              <w:spacing w:line="276" w:lineRule="auto"/>
              <w:ind w:left="214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8D1B9F" w:rsidRDefault="008D1B9F">
            <w:pPr>
              <w:autoSpaceDE w:val="0"/>
              <w:autoSpaceDN w:val="0"/>
              <w:adjustRightInd w:val="0"/>
              <w:spacing w:line="276" w:lineRule="auto"/>
              <w:ind w:left="214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B20950" w:rsidRDefault="00B20950">
            <w:pPr>
              <w:autoSpaceDE w:val="0"/>
              <w:autoSpaceDN w:val="0"/>
              <w:adjustRightInd w:val="0"/>
              <w:spacing w:line="276" w:lineRule="auto"/>
              <w:ind w:left="214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B87B38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Ćwiczenia</w:t>
            </w:r>
          </w:p>
          <w:p w:rsidR="00B87B38" w:rsidRPr="00B87B38" w:rsidRDefault="00B87B38">
            <w:pPr>
              <w:autoSpaceDE w:val="0"/>
              <w:autoSpaceDN w:val="0"/>
              <w:adjustRightInd w:val="0"/>
              <w:spacing w:line="276" w:lineRule="auto"/>
              <w:ind w:left="214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  <w:p w:rsidR="00B20950" w:rsidRDefault="00B20950">
            <w:pPr>
              <w:autoSpaceDE w:val="0"/>
              <w:autoSpaceDN w:val="0"/>
              <w:adjustRightInd w:val="0"/>
              <w:spacing w:line="276" w:lineRule="auto"/>
              <w:ind w:left="214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Umowy międzynarodowe. </w:t>
            </w:r>
          </w:p>
          <w:p w:rsidR="00B20950" w:rsidRDefault="00B20950">
            <w:pPr>
              <w:autoSpaceDE w:val="0"/>
              <w:autoSpaceDN w:val="0"/>
              <w:adjustRightInd w:val="0"/>
              <w:spacing w:line="276" w:lineRule="auto"/>
              <w:ind w:left="214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Zwyczaj międzynarodowy. </w:t>
            </w:r>
          </w:p>
          <w:p w:rsidR="00B20950" w:rsidRDefault="00B20950">
            <w:pPr>
              <w:autoSpaceDE w:val="0"/>
              <w:autoSpaceDN w:val="0"/>
              <w:adjustRightInd w:val="0"/>
              <w:spacing w:line="276" w:lineRule="auto"/>
              <w:ind w:left="214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Uchwały prawotwórcze organizacji międzynarodowych.</w:t>
            </w:r>
          </w:p>
          <w:p w:rsidR="00B20950" w:rsidRDefault="00B20950">
            <w:pPr>
              <w:autoSpaceDE w:val="0"/>
              <w:autoSpaceDN w:val="0"/>
              <w:adjustRightInd w:val="0"/>
              <w:spacing w:line="276" w:lineRule="auto"/>
              <w:ind w:left="214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Uznanie międzynarodowe</w:t>
            </w:r>
            <w:r>
              <w:rPr>
                <w:rFonts w:cstheme="minorBidi"/>
                <w:sz w:val="20"/>
                <w:szCs w:val="20"/>
                <w:lang w:eastAsia="en-US"/>
              </w:rPr>
              <w:t xml:space="preserve">. </w:t>
            </w:r>
          </w:p>
        </w:tc>
      </w:tr>
    </w:tbl>
    <w:p w:rsidR="00B20950" w:rsidRDefault="00B20950" w:rsidP="00B20950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B20950" w:rsidRDefault="00B20950" w:rsidP="00B20950">
      <w:pPr>
        <w:numPr>
          <w:ilvl w:val="1"/>
          <w:numId w:val="1"/>
        </w:numPr>
        <w:ind w:left="426" w:hanging="426"/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color w:val="auto"/>
          <w:sz w:val="20"/>
          <w:szCs w:val="20"/>
        </w:rPr>
        <w:t>Przedmiotowe efekty uczenia się</w:t>
      </w:r>
    </w:p>
    <w:tbl>
      <w:tblPr>
        <w:tblW w:w="98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B20950" w:rsidTr="00FC5142">
        <w:trPr>
          <w:gridAfter w:val="1"/>
          <w:wAfter w:w="34" w:type="dxa"/>
          <w:cantSplit/>
          <w:trHeight w:val="284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0950" w:rsidRDefault="00B20950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Odniesienie do kierunkowych efektów uczenia się</w:t>
            </w:r>
          </w:p>
        </w:tc>
      </w:tr>
      <w:tr w:rsidR="00B20950" w:rsidTr="00FC5142">
        <w:trPr>
          <w:gridAfter w:val="1"/>
          <w:wAfter w:w="34" w:type="dxa"/>
          <w:trHeight w:val="284"/>
        </w:trPr>
        <w:tc>
          <w:tcPr>
            <w:tcW w:w="978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WIEDZY:</w:t>
            </w:r>
          </w:p>
        </w:tc>
      </w:tr>
      <w:tr w:rsidR="00B20950" w:rsidTr="00FC5142">
        <w:trPr>
          <w:gridAfter w:val="1"/>
          <w:wAfter w:w="34" w:type="dxa"/>
          <w:trHeight w:val="284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0000"/>
            </w:tcBorders>
            <w:hideMark/>
          </w:tcPr>
          <w:p w:rsidR="00B20950" w:rsidRDefault="00B20950" w:rsidP="00FC5142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ma wiedzę o </w:t>
            </w:r>
            <w:r w:rsidR="00FC514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podstawowych instytucjach prawa międzynarodowego.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ADM1P_W02</w:t>
            </w:r>
          </w:p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ADM1P_W03</w:t>
            </w:r>
          </w:p>
        </w:tc>
      </w:tr>
      <w:tr w:rsidR="00B20950" w:rsidTr="00FC5142">
        <w:trPr>
          <w:gridAfter w:val="1"/>
          <w:wAfter w:w="34" w:type="dxa"/>
          <w:trHeight w:val="284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0000"/>
            </w:tcBorders>
            <w:hideMark/>
          </w:tcPr>
          <w:p w:rsidR="00B20950" w:rsidRDefault="00B20950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ma wiedzę o poglądach na temat </w:t>
            </w:r>
            <w:r w:rsidR="00FC514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organów prawa międzynarodowego i ich struktur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oraz o ich historycznej ewolucji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ADM1P_W06</w:t>
            </w:r>
          </w:p>
        </w:tc>
      </w:tr>
      <w:tr w:rsidR="00B20950" w:rsidTr="00FC5142">
        <w:trPr>
          <w:gridAfter w:val="1"/>
          <w:wAfter w:w="34" w:type="dxa"/>
          <w:trHeight w:val="284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0000"/>
            </w:tcBorders>
            <w:hideMark/>
          </w:tcPr>
          <w:p w:rsidR="00B20950" w:rsidRDefault="00B20950" w:rsidP="00FC5142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posiada wiedzę z zakresu socjologicznych uwarunkowań funkcjonowania </w:t>
            </w:r>
            <w:r w:rsidR="00FC5142">
              <w:rPr>
                <w:rFonts w:ascii="Times New Roman" w:hAnsi="Times New Roman"/>
                <w:sz w:val="18"/>
                <w:szCs w:val="18"/>
                <w:lang w:eastAsia="en-US"/>
              </w:rPr>
              <w:t>organów prawa międzynarodowego i ich struktur.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ADM1P_W07</w:t>
            </w:r>
          </w:p>
        </w:tc>
      </w:tr>
      <w:tr w:rsidR="00B20950" w:rsidTr="00FC5142">
        <w:trPr>
          <w:gridAfter w:val="1"/>
          <w:wAfter w:w="34" w:type="dxa"/>
          <w:trHeight w:val="284"/>
        </w:trPr>
        <w:tc>
          <w:tcPr>
            <w:tcW w:w="978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UMIEJĘTNOŚCI:</w:t>
            </w:r>
          </w:p>
        </w:tc>
      </w:tr>
      <w:tr w:rsidR="00B20950" w:rsidTr="00FC5142">
        <w:trPr>
          <w:gridAfter w:val="1"/>
          <w:wAfter w:w="34" w:type="dxa"/>
          <w:trHeight w:val="284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0000"/>
            </w:tcBorders>
            <w:hideMark/>
          </w:tcPr>
          <w:p w:rsidR="00B20950" w:rsidRDefault="00B20950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potrafi objaśniać, analizować i oceniać zdarz</w:t>
            </w:r>
            <w:r w:rsidR="00FC514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enia zachodzące w organizacjach międzynawowych.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ADM1P_U01</w:t>
            </w:r>
          </w:p>
        </w:tc>
      </w:tr>
      <w:tr w:rsidR="00B20950" w:rsidTr="00FC5142">
        <w:trPr>
          <w:gridAfter w:val="1"/>
          <w:wAfter w:w="34" w:type="dxa"/>
          <w:trHeight w:val="284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0000"/>
            </w:tcBorders>
            <w:hideMark/>
          </w:tcPr>
          <w:p w:rsidR="00B20950" w:rsidRDefault="00B20950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umie praktycznie stosować wiedzę </w:t>
            </w:r>
            <w:r w:rsidR="00FC5142">
              <w:rPr>
                <w:rFonts w:ascii="Times New Roman" w:hAnsi="Times New Roman"/>
                <w:sz w:val="18"/>
                <w:szCs w:val="18"/>
                <w:lang w:eastAsia="en-US"/>
              </w:rPr>
              <w:t>z zakresu prawa międzynarodowego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, rozwiązywać problemy związane z funkcjonowaniem organów </w:t>
            </w:r>
            <w:r w:rsidR="00FC5142">
              <w:rPr>
                <w:rFonts w:ascii="Times New Roman" w:hAnsi="Times New Roman"/>
                <w:sz w:val="18"/>
                <w:szCs w:val="18"/>
                <w:lang w:eastAsia="en-US"/>
              </w:rPr>
              <w:t>prawa międzynarodowego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, ich struktur, podmiotów gospodarczych, instytucji społecznych, organizacji międzynarodowych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ADM1P_U03</w:t>
            </w:r>
          </w:p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ADM1P_U06</w:t>
            </w:r>
          </w:p>
        </w:tc>
      </w:tr>
      <w:tr w:rsidR="00B20950" w:rsidTr="00FC5142">
        <w:trPr>
          <w:gridAfter w:val="1"/>
          <w:wAfter w:w="34" w:type="dxa"/>
          <w:trHeight w:val="284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cstheme="minorBidi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0000"/>
            </w:tcBorders>
            <w:hideMark/>
          </w:tcPr>
          <w:p w:rsidR="00B20950" w:rsidRDefault="00B20950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posiada znajomość zasad funkcjonowania i roli</w:t>
            </w:r>
            <w:r w:rsidR="00FC514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organów prawa </w:t>
            </w:r>
            <w:r w:rsidR="00843A91">
              <w:rPr>
                <w:rFonts w:ascii="Times New Roman" w:hAnsi="Times New Roman"/>
                <w:sz w:val="18"/>
                <w:szCs w:val="18"/>
                <w:lang w:eastAsia="en-US"/>
              </w:rPr>
              <w:t>międzynarodowego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, ich struktur, podmiotów gospodarczych, instytucji społecznych, organizacji międzynarodowych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ADM1P_U01</w:t>
            </w:r>
          </w:p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ADM1P_U08</w:t>
            </w:r>
          </w:p>
        </w:tc>
      </w:tr>
      <w:tr w:rsidR="00B20950" w:rsidTr="00FC5142">
        <w:trPr>
          <w:gridAfter w:val="1"/>
          <w:wAfter w:w="34" w:type="dxa"/>
          <w:trHeight w:val="284"/>
        </w:trPr>
        <w:tc>
          <w:tcPr>
            <w:tcW w:w="978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KOMPETENCJI SPOŁECZNYCH:</w:t>
            </w:r>
          </w:p>
        </w:tc>
      </w:tr>
      <w:tr w:rsidR="00B20950" w:rsidTr="00FC5142">
        <w:trPr>
          <w:gridAfter w:val="1"/>
          <w:wAfter w:w="34" w:type="dxa"/>
          <w:trHeight w:val="284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0000"/>
            </w:tcBorders>
            <w:hideMark/>
          </w:tcPr>
          <w:p w:rsidR="00B20950" w:rsidRDefault="00B20950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rozumie potrzebę ciągłego uczenia się, wykazuje zaangażowanie w procesy administracyjno – gospodarcze o zasięgu krajowym i międzynarodowym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ADM1P_K01</w:t>
            </w:r>
          </w:p>
        </w:tc>
      </w:tr>
      <w:tr w:rsidR="00B20950" w:rsidTr="00FC5142">
        <w:trPr>
          <w:gridAfter w:val="1"/>
          <w:wAfter w:w="34" w:type="dxa"/>
          <w:trHeight w:val="284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0000"/>
            </w:tcBorders>
            <w:hideMark/>
          </w:tcPr>
          <w:p w:rsidR="00B20950" w:rsidRDefault="00B20950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potrafi doskonalić i uzupełniać zdobytą wiedzę i umiejętności administratywisty, dostosowując ją do potrzeb wykonywanego zawodu  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ADM1P_K02</w:t>
            </w:r>
          </w:p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ADM1P_K08</w:t>
            </w:r>
          </w:p>
        </w:tc>
      </w:tr>
      <w:tr w:rsidR="00B20950" w:rsidTr="00B20950">
        <w:trPr>
          <w:gridBefore w:val="1"/>
          <w:wBefore w:w="35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950" w:rsidRDefault="00B20950">
            <w:pPr>
              <w:numPr>
                <w:ilvl w:val="1"/>
                <w:numId w:val="4"/>
              </w:numPr>
              <w:tabs>
                <w:tab w:val="left" w:pos="426"/>
              </w:tabs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Sposoby weryfikacji osiągnięcia przedmiotowych efektów uczenia się</w:t>
            </w:r>
          </w:p>
        </w:tc>
      </w:tr>
      <w:tr w:rsidR="00B20950" w:rsidTr="00B20950">
        <w:trPr>
          <w:gridBefore w:val="1"/>
          <w:wBefore w:w="35" w:type="dxa"/>
          <w:trHeight w:val="284"/>
        </w:trPr>
        <w:tc>
          <w:tcPr>
            <w:tcW w:w="1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Efekty przedmiotowe</w:t>
            </w:r>
          </w:p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Sposób weryfikacji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  <w:lang w:eastAsia="en-US"/>
              </w:rPr>
              <w:t>(+/-)</w:t>
            </w:r>
          </w:p>
        </w:tc>
      </w:tr>
      <w:tr w:rsidR="00B20950" w:rsidTr="00FC5142">
        <w:trPr>
          <w:gridBefore w:val="1"/>
          <w:wBefore w:w="35" w:type="dxa"/>
          <w:trHeight w:val="284"/>
        </w:trPr>
        <w:tc>
          <w:tcPr>
            <w:tcW w:w="18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693116">
            <w:pPr>
              <w:spacing w:line="276" w:lineRule="auto"/>
              <w:ind w:left="-113" w:right="-113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Egzamin ustny</w:t>
            </w:r>
            <w:r w:rsidR="00B20950"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 xml:space="preserve">Aktywność               </w:t>
            </w:r>
            <w:r>
              <w:rPr>
                <w:rFonts w:ascii="Times New Roman" w:hAnsi="Times New Roman"/>
                <w:b/>
                <w:color w:val="auto"/>
                <w:spacing w:val="-2"/>
                <w:sz w:val="16"/>
                <w:szCs w:val="16"/>
                <w:lang w:eastAsia="en-US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highlight w:val="lightGray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Inne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(jakie?)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*</w:t>
            </w:r>
          </w:p>
        </w:tc>
      </w:tr>
      <w:tr w:rsidR="00B20950" w:rsidTr="00FC5142">
        <w:trPr>
          <w:gridBefore w:val="1"/>
          <w:wBefore w:w="35" w:type="dxa"/>
          <w:trHeight w:val="284"/>
        </w:trPr>
        <w:tc>
          <w:tcPr>
            <w:tcW w:w="18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</w:tr>
      <w:tr w:rsidR="00B20950" w:rsidTr="00FC5142">
        <w:trPr>
          <w:gridBefore w:val="1"/>
          <w:wBefore w:w="35" w:type="dxa"/>
          <w:trHeight w:val="284"/>
        </w:trPr>
        <w:tc>
          <w:tcPr>
            <w:tcW w:w="18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</w:tr>
      <w:tr w:rsidR="00B20950" w:rsidTr="00B20950">
        <w:trPr>
          <w:gridBefore w:val="1"/>
          <w:wBefore w:w="35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B20950" w:rsidTr="00B20950">
        <w:trPr>
          <w:gridBefore w:val="1"/>
          <w:wBefore w:w="35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FC514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B20950" w:rsidTr="00B20950">
        <w:trPr>
          <w:gridBefore w:val="1"/>
          <w:wBefore w:w="35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FC514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B20950" w:rsidTr="00B20950">
        <w:trPr>
          <w:gridBefore w:val="1"/>
          <w:wBefore w:w="35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FC514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B20950" w:rsidTr="00B20950">
        <w:trPr>
          <w:gridBefore w:val="1"/>
          <w:wBefore w:w="35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FC5142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FC514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FC514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FC5142" w:rsidTr="0039665F">
        <w:trPr>
          <w:gridBefore w:val="1"/>
          <w:wBefore w:w="35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FC5142" w:rsidTr="0039665F">
        <w:trPr>
          <w:gridBefore w:val="1"/>
          <w:wBefore w:w="35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FC5142" w:rsidTr="0039665F">
        <w:trPr>
          <w:gridBefore w:val="1"/>
          <w:wBefore w:w="35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142" w:rsidRDefault="00FC5142" w:rsidP="0039665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B20950" w:rsidRDefault="00B20950" w:rsidP="00B2095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*niepotrzebne usunąć</w:t>
      </w:r>
    </w:p>
    <w:p w:rsidR="00B20950" w:rsidRDefault="00B20950" w:rsidP="00B20950">
      <w:pPr>
        <w:rPr>
          <w:rFonts w:ascii="Times New Roman" w:hAnsi="Times New Roman"/>
          <w:color w:val="auto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68"/>
      </w:tblGrid>
      <w:tr w:rsidR="00B20950" w:rsidTr="00B2095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numPr>
                <w:ilvl w:val="1"/>
                <w:numId w:val="5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Kryteria oceny stopnia osiągnięcia efektów uczenia się</w:t>
            </w:r>
          </w:p>
        </w:tc>
      </w:tr>
      <w:tr w:rsidR="00B20950" w:rsidTr="00B20950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Kryterium oceny</w:t>
            </w:r>
          </w:p>
        </w:tc>
      </w:tr>
      <w:tr w:rsidR="00B20950" w:rsidTr="00B2095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0950" w:rsidRDefault="00B20950">
            <w:pPr>
              <w:keepNext/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  <w:t>wykład(W)*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ind w:right="113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60-65% ogólnej liczby punktów do zdobyci</w:t>
            </w:r>
            <w:r w:rsidR="00B87B38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 z egzaminu</w:t>
            </w:r>
          </w:p>
        </w:tc>
      </w:tr>
      <w:tr w:rsidR="00B20950" w:rsidTr="00B20950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66-70% ogólnej liczby punktów do zdobycia</w:t>
            </w:r>
            <w:r w:rsidR="00B87B38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z egzaminu</w:t>
            </w:r>
          </w:p>
        </w:tc>
      </w:tr>
      <w:tr w:rsidR="00B20950" w:rsidTr="00B20950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71-80% ogólnej liczby punktów do zdobyci</w:t>
            </w:r>
            <w:r w:rsidR="00B87B38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 z egzaminu</w:t>
            </w:r>
          </w:p>
        </w:tc>
      </w:tr>
      <w:tr w:rsidR="00B20950" w:rsidTr="00B20950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81-85% ogólnej liczby punktów do zdobycia</w:t>
            </w:r>
            <w:r w:rsidR="00B87B38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z egzaminu</w:t>
            </w:r>
          </w:p>
        </w:tc>
      </w:tr>
      <w:tr w:rsidR="00B20950" w:rsidTr="00B20950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86%-100% ogólnej liczby punktów do zdobyci</w:t>
            </w:r>
            <w:r w:rsidR="00B87B38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 z egzaminu</w:t>
            </w:r>
          </w:p>
        </w:tc>
      </w:tr>
      <w:tr w:rsidR="00B20950" w:rsidTr="00B20950">
        <w:trPr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0950" w:rsidRDefault="00B20950">
            <w:pPr>
              <w:keepNext/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ind w:right="113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60-65% ogólnej liczby punktów do zdobycia za kolokwium zaliczeniowe oraz</w:t>
            </w:r>
            <w:r w:rsidR="00C82134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mała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B20950" w:rsidTr="00B20950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66-70% ogólnej liczby punktów do zdobycia za kolokwium zaliczeniowe oraz</w:t>
            </w:r>
            <w:r w:rsidR="00C82134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średnia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B20950" w:rsidTr="00B20950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71-80% ogólnej liczby punktów do zdobycia za kolokwium zaliczeniowe oraz </w:t>
            </w:r>
            <w:r w:rsidR="00C82134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średnia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aktywność studenta na zajęciach</w:t>
            </w:r>
          </w:p>
        </w:tc>
      </w:tr>
      <w:tr w:rsidR="00B20950" w:rsidTr="00B20950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81-85% ogólnej liczby punktów do zdobycia za kolokwium zaliczeniowe oraz</w:t>
            </w:r>
            <w:r w:rsidR="00C82134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wyróżniająca się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B20950" w:rsidTr="00B20950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86%-100% ogólnej liczby punktów do zdobycia za kolokwium zaliczeniowe oraz</w:t>
            </w:r>
            <w:r w:rsidR="00C82134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wyróżniająca się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</w:tbl>
    <w:p w:rsidR="00B20950" w:rsidRDefault="00B20950" w:rsidP="00B20950">
      <w:pPr>
        <w:rPr>
          <w:rFonts w:ascii="Times New Roman" w:hAnsi="Times New Roman"/>
          <w:color w:val="auto"/>
        </w:rPr>
      </w:pPr>
    </w:p>
    <w:p w:rsidR="00B20950" w:rsidRDefault="00B20950" w:rsidP="00B20950">
      <w:pPr>
        <w:numPr>
          <w:ilvl w:val="0"/>
          <w:numId w:val="4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B20950" w:rsidTr="00B20950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Obciążenie studenta</w:t>
            </w:r>
          </w:p>
        </w:tc>
      </w:tr>
      <w:tr w:rsidR="00B20950" w:rsidTr="00B20950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niestacjonarne</w:t>
            </w:r>
          </w:p>
        </w:tc>
      </w:tr>
      <w:tr w:rsidR="00B20950" w:rsidTr="00B2095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w:rsidR="00B20950" w:rsidTr="00B2095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B6E0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B6E0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8</w:t>
            </w:r>
          </w:p>
        </w:tc>
      </w:tr>
      <w:tr w:rsidR="00B20950" w:rsidTr="00B2095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8</w:t>
            </w:r>
          </w:p>
        </w:tc>
      </w:tr>
      <w:tr w:rsidR="00B20950" w:rsidTr="00B2095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egzaminie/kolokwium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BB6E0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8D1B9F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</w:tr>
      <w:tr w:rsidR="00B20950" w:rsidTr="00B2095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30</w:t>
            </w:r>
          </w:p>
        </w:tc>
      </w:tr>
      <w:tr w:rsidR="00B20950" w:rsidTr="00B2095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C73BD7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wykładów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C73BD7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C73BD7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8</w:t>
            </w:r>
          </w:p>
        </w:tc>
      </w:tr>
      <w:tr w:rsidR="00B20950" w:rsidTr="00B2095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C73BD7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C73BD7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950" w:rsidRDefault="00C73BD7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12</w:t>
            </w:r>
          </w:p>
        </w:tc>
      </w:tr>
      <w:tr w:rsidR="00C73BD7" w:rsidTr="00B2095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BD7" w:rsidRDefault="00C73BD7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BD7" w:rsidRDefault="00C73BD7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BD7" w:rsidRDefault="00C73BD7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B20950" w:rsidTr="00B2095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50</w:t>
            </w:r>
          </w:p>
        </w:tc>
      </w:tr>
      <w:tr w:rsidR="00B20950" w:rsidTr="00B2095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20950" w:rsidRDefault="00B20950">
            <w:pPr>
              <w:spacing w:line="276" w:lineRule="auto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20950" w:rsidRDefault="00B20950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2</w:t>
            </w:r>
          </w:p>
        </w:tc>
      </w:tr>
    </w:tbl>
    <w:p w:rsidR="00B20950" w:rsidRDefault="00B20950" w:rsidP="00B2095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*niepotrzebne usunąć</w:t>
      </w:r>
    </w:p>
    <w:p w:rsidR="00B20950" w:rsidRDefault="00B20950" w:rsidP="00B2095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:rsidR="00B20950" w:rsidRDefault="00B20950" w:rsidP="00B2095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(data i podpisy osób prowadzących przedmiot w danym roku akademickim)</w:t>
      </w:r>
    </w:p>
    <w:p w:rsidR="00B20950" w:rsidRDefault="00B20950" w:rsidP="00B2095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B20950" w:rsidRDefault="00B20950" w:rsidP="00B2095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B20950" w:rsidRDefault="00B20950" w:rsidP="00B20950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>
        <w:rPr>
          <w:i/>
          <w:color w:val="FF0000"/>
          <w:sz w:val="16"/>
          <w:szCs w:val="16"/>
        </w:rPr>
        <w:tab/>
      </w:r>
      <w:r>
        <w:rPr>
          <w:i/>
          <w:color w:val="FF0000"/>
          <w:sz w:val="16"/>
          <w:szCs w:val="16"/>
        </w:rPr>
        <w:tab/>
      </w:r>
      <w:r>
        <w:rPr>
          <w:i/>
          <w:color w:val="FF0000"/>
          <w:sz w:val="16"/>
          <w:szCs w:val="16"/>
        </w:rPr>
        <w:tab/>
      </w:r>
      <w:r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:rsidR="007B291D" w:rsidRDefault="007B291D"/>
    <w:sectPr w:rsidR="007B29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6924528"/>
    <w:multiLevelType w:val="hybridMultilevel"/>
    <w:tmpl w:val="DD160F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705EF1"/>
    <w:multiLevelType w:val="hybridMultilevel"/>
    <w:tmpl w:val="CF6055FE"/>
    <w:lvl w:ilvl="0" w:tplc="43D81E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C13"/>
    <w:rsid w:val="001A3C13"/>
    <w:rsid w:val="00513341"/>
    <w:rsid w:val="00693116"/>
    <w:rsid w:val="007B291D"/>
    <w:rsid w:val="00843A91"/>
    <w:rsid w:val="00871150"/>
    <w:rsid w:val="008D1B9F"/>
    <w:rsid w:val="009C63FC"/>
    <w:rsid w:val="00AC37A9"/>
    <w:rsid w:val="00B20950"/>
    <w:rsid w:val="00B87B38"/>
    <w:rsid w:val="00BB6E06"/>
    <w:rsid w:val="00C73BD7"/>
    <w:rsid w:val="00C82134"/>
    <w:rsid w:val="00D36916"/>
    <w:rsid w:val="00F47854"/>
    <w:rsid w:val="00FC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86A5C"/>
  <w15:chartTrackingRefBased/>
  <w15:docId w15:val="{EC7926C4-A8A9-4550-B875-9ABD5FA7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0950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20950"/>
    <w:pPr>
      <w:spacing w:before="100" w:beforeAutospacing="1" w:after="100" w:afterAutospacing="1"/>
    </w:pPr>
    <w:rPr>
      <w:rFonts w:ascii="Times New Roman" w:eastAsia="Calibri" w:hAnsi="Times New Roman"/>
      <w:color w:val="auto"/>
    </w:rPr>
  </w:style>
  <w:style w:type="paragraph" w:styleId="Akapitzlist">
    <w:name w:val="List Paragraph"/>
    <w:basedOn w:val="Normalny"/>
    <w:uiPriority w:val="34"/>
    <w:qFormat/>
    <w:rsid w:val="00B20950"/>
    <w:pPr>
      <w:ind w:left="720"/>
      <w:contextualSpacing/>
    </w:pPr>
    <w:rPr>
      <w:rFonts w:eastAsia="Calibri"/>
    </w:rPr>
  </w:style>
  <w:style w:type="character" w:customStyle="1" w:styleId="Bodytext2">
    <w:name w:val="Body text (2)_"/>
    <w:link w:val="Bodytext20"/>
    <w:locked/>
    <w:rsid w:val="00B2095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B20950"/>
    <w:pPr>
      <w:shd w:val="clear" w:color="auto" w:fill="FFFFFF"/>
      <w:spacing w:line="326" w:lineRule="exact"/>
      <w:ind w:hanging="200"/>
      <w:jc w:val="right"/>
    </w:pPr>
    <w:rPr>
      <w:rFonts w:ascii="Times New Roman" w:hAnsi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locked/>
    <w:rsid w:val="00B2095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B20950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/>
      <w:color w:val="auto"/>
      <w:sz w:val="21"/>
      <w:szCs w:val="21"/>
      <w:lang w:eastAsia="en-US"/>
    </w:rPr>
  </w:style>
  <w:style w:type="character" w:customStyle="1" w:styleId="wrtext">
    <w:name w:val="wrtext"/>
    <w:basedOn w:val="Domylnaczcionkaakapitu"/>
    <w:rsid w:val="00B20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3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899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Krawczynski</dc:creator>
  <cp:keywords/>
  <dc:description/>
  <cp:lastModifiedBy>Krawczyński Ireneusz</cp:lastModifiedBy>
  <cp:revision>17</cp:revision>
  <dcterms:created xsi:type="dcterms:W3CDTF">2020-11-19T11:34:00Z</dcterms:created>
  <dcterms:modified xsi:type="dcterms:W3CDTF">2024-02-27T09:12:00Z</dcterms:modified>
</cp:coreProperties>
</file>