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70837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bookmarkStart w:id="0" w:name="_GoBack"/>
      <w:bookmarkEnd w:id="0"/>
      <w:r>
        <w:rPr>
          <w:b/>
          <w:i/>
        </w:rPr>
        <w:tab/>
      </w:r>
    </w:p>
    <w:p w14:paraId="2F4305F7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3948A25B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5DB9A366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5DCB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DFFB54" w14:textId="3A975F71" w:rsidR="000C57E6" w:rsidRPr="00C6523F" w:rsidRDefault="000B3B27" w:rsidP="000B3B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104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0413.8.ADM1P.B/C11.IZ</w:t>
            </w:r>
            <w:r w:rsidR="00A25DB3" w:rsidRPr="00C9104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PUE</w:t>
            </w:r>
          </w:p>
        </w:tc>
      </w:tr>
      <w:tr w:rsidR="000C57E6" w:rsidRPr="000B3B27" w14:paraId="23A76D47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70BF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306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65B53" w14:textId="77777777" w:rsidR="00317DEF" w:rsidRPr="00317DEF" w:rsidRDefault="00317DEF" w:rsidP="00317DE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D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Instytucje i źródła prawa Unii Europejskiej </w:t>
            </w:r>
          </w:p>
          <w:p w14:paraId="5ACA72EA" w14:textId="77777777" w:rsidR="005431BA" w:rsidRPr="005431BA" w:rsidRDefault="00317DEF" w:rsidP="00317DEF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</w:pPr>
            <w:r w:rsidRPr="00317D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Institutions and sources of European Union law</w:t>
            </w:r>
          </w:p>
        </w:tc>
      </w:tr>
      <w:tr w:rsidR="000C57E6" w:rsidRPr="00845406" w14:paraId="5F862526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F057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389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8DF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84C1166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594453CA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42CFD9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4F2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DAFD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6298EDA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AD8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AF25" w14:textId="77777777" w:rsidR="000C57E6" w:rsidRPr="00845406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7425D83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8632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E8EF" w14:textId="77777777" w:rsidR="000C57E6" w:rsidRPr="00845406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533EF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2E66114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8314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9305" w14:textId="77777777" w:rsidR="000C57E6" w:rsidRPr="00CD1752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35540BE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21FF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EC81" w14:textId="3A48DFF9" w:rsidR="000C57E6" w:rsidRPr="00845406" w:rsidRDefault="00B4799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4359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gr </w:t>
            </w:r>
            <w:r w:rsidR="00B50C8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Wojciech Wereszczyński</w:t>
            </w:r>
          </w:p>
        </w:tc>
      </w:tr>
      <w:tr w:rsidR="000C57E6" w:rsidRPr="00BA1DD8" w14:paraId="64250ED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33EB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B582" w14:textId="3B816835" w:rsidR="000C57E6" w:rsidRPr="00CD1752" w:rsidRDefault="00B50C8C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wwereszczynski</w:t>
            </w:r>
            <w:r w:rsidR="003B54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@ujk.edu.pl</w:t>
            </w:r>
          </w:p>
        </w:tc>
      </w:tr>
    </w:tbl>
    <w:p w14:paraId="7CB86842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984B7B8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6861319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DE8C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4606" w14:textId="77777777" w:rsidR="000C57E6" w:rsidRPr="004F6F95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6F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4F6F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1475138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414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3A8E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6A7A255C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AF83108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06910684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EE5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C2A5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45B45CD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AFE0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E782" w14:textId="20DEAB34" w:rsidR="000C57E6" w:rsidRPr="00826D5B" w:rsidRDefault="00826D5B" w:rsidP="00826D5B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826D5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Zajęcia w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826D5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pomieszczeniach Filii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 Sandomierzu</w:t>
            </w:r>
            <w:r w:rsidRPr="00826D5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46028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0C57E6" w:rsidRPr="00845406" w14:paraId="7F817BAE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6C43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1D1C" w14:textId="74EF79F5" w:rsidR="000C57E6" w:rsidRPr="00880276" w:rsidRDefault="00C6523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802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8802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0138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/zaliczenie z oceną</w:t>
            </w:r>
          </w:p>
        </w:tc>
      </w:tr>
      <w:tr w:rsidR="000C57E6" w:rsidRPr="00845406" w14:paraId="2AD6982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D17A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F42F" w14:textId="3C0865F6" w:rsidR="000C57E6" w:rsidRPr="00880276" w:rsidRDefault="001C4D05" w:rsidP="00EF6D9F">
            <w:pPr>
              <w:pStyle w:val="NormalnyWeb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Metody podające: prezentacja multimedialna,</w:t>
            </w:r>
            <w:r w:rsidR="00B4799F" w:rsidRPr="00B4799F">
              <w:rPr>
                <w:sz w:val="18"/>
                <w:szCs w:val="18"/>
              </w:rPr>
              <w:t xml:space="preserve"> </w:t>
            </w:r>
            <w:r w:rsidR="00B4799F">
              <w:rPr>
                <w:sz w:val="18"/>
                <w:szCs w:val="18"/>
              </w:rPr>
              <w:t>pogadanka,</w:t>
            </w:r>
            <w:r w:rsidR="00DF6269">
              <w:rPr>
                <w:sz w:val="18"/>
                <w:szCs w:val="18"/>
              </w:rPr>
              <w:t xml:space="preserve"> wykład problemowy</w:t>
            </w:r>
            <w:r w:rsidR="00B479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Metody aktywizujące</w:t>
            </w:r>
            <w:r w:rsidR="00392880">
              <w:rPr>
                <w:sz w:val="18"/>
                <w:szCs w:val="18"/>
              </w:rPr>
              <w:t xml:space="preserve"> – dyskusja, praca w grupie</w:t>
            </w:r>
            <w:r w:rsidR="00EF6D9F">
              <w:rPr>
                <w:sz w:val="18"/>
                <w:szCs w:val="18"/>
              </w:rPr>
              <w:t>, burza mózgów</w:t>
            </w:r>
          </w:p>
        </w:tc>
      </w:tr>
      <w:tr w:rsidR="000C57E6" w:rsidRPr="00BA1DD8" w14:paraId="74A79BA4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D06E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C669" w14:textId="77777777" w:rsidR="000C57E6" w:rsidRPr="00BA1DD8" w:rsidRDefault="004230AE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0C57E6"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5155" w14:textId="20D485A8" w:rsidR="00FD6519" w:rsidRPr="00880276" w:rsidRDefault="00FD6519" w:rsidP="00543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0276">
              <w:rPr>
                <w:rFonts w:ascii="Times New Roman" w:hAnsi="Times New Roman" w:cs="Times New Roman"/>
                <w:sz w:val="18"/>
                <w:szCs w:val="18"/>
              </w:rPr>
              <w:t xml:space="preserve">1 .J. Barcz, M. Górka, A. </w:t>
            </w:r>
            <w:proofErr w:type="spellStart"/>
            <w:r w:rsidRPr="00880276">
              <w:rPr>
                <w:rFonts w:ascii="Times New Roman" w:hAnsi="Times New Roman" w:cs="Times New Roman"/>
                <w:sz w:val="18"/>
                <w:szCs w:val="18"/>
              </w:rPr>
              <w:t>Wyrozumska</w:t>
            </w:r>
            <w:proofErr w:type="spellEnd"/>
            <w:r w:rsidRPr="008802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081D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0276">
              <w:rPr>
                <w:rFonts w:ascii="Times New Roman" w:hAnsi="Times New Roman" w:cs="Times New Roman"/>
                <w:sz w:val="18"/>
                <w:szCs w:val="18"/>
              </w:rPr>
              <w:t>Instytucje i prawo Unii Europejskiej.</w:t>
            </w:r>
          </w:p>
          <w:p w14:paraId="2E5B03A5" w14:textId="77777777" w:rsidR="0012752C" w:rsidRPr="00880276" w:rsidRDefault="00FD6519" w:rsidP="00543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0276">
              <w:rPr>
                <w:rFonts w:ascii="Times New Roman" w:hAnsi="Times New Roman" w:cs="Times New Roman"/>
                <w:sz w:val="18"/>
                <w:szCs w:val="18"/>
              </w:rPr>
              <w:t>2. Podręcznik dla kierunków zarządzania i administracji, wyd. II, Warszawa 2011.</w:t>
            </w:r>
          </w:p>
        </w:tc>
      </w:tr>
      <w:tr w:rsidR="000C57E6" w:rsidRPr="00BA1DD8" w14:paraId="735908CF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E673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BDFF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3153" w14:textId="77777777" w:rsidR="00007AC7" w:rsidRPr="00007AC7" w:rsidRDefault="000465C3" w:rsidP="00007A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1.Traktat o Unii </w:t>
            </w:r>
            <w:r w:rsidRPr="00007AC7">
              <w:rPr>
                <w:rFonts w:ascii="Times New Roman" w:hAnsi="Times New Roman" w:cs="Times New Roman"/>
                <w:sz w:val="18"/>
                <w:szCs w:val="18"/>
              </w:rPr>
              <w:t>Europejskiej</w:t>
            </w:r>
            <w:r w:rsidR="00007AC7" w:rsidRPr="00007AC7">
              <w:rPr>
                <w:rFonts w:ascii="Times New Roman" w:hAnsi="Times New Roman" w:cs="Times New Roman"/>
                <w:sz w:val="18"/>
                <w:szCs w:val="18"/>
              </w:rPr>
              <w:t xml:space="preserve"> Dz.U.2004.90.864/30 z dnia 2004.04.30</w:t>
            </w:r>
          </w:p>
          <w:p w14:paraId="1721DB3A" w14:textId="77777777" w:rsidR="00007AC7" w:rsidRPr="00007AC7" w:rsidRDefault="000465C3" w:rsidP="00007A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Traktat o Funkcjonowaniu Unii </w:t>
            </w:r>
            <w:r w:rsidRPr="00007AC7">
              <w:rPr>
                <w:rFonts w:ascii="Times New Roman" w:hAnsi="Times New Roman" w:cs="Times New Roman"/>
                <w:sz w:val="18"/>
                <w:szCs w:val="18"/>
              </w:rPr>
              <w:t>Europejskiej</w:t>
            </w:r>
            <w:r w:rsidR="00007AC7" w:rsidRPr="00007AC7">
              <w:rPr>
                <w:rFonts w:ascii="Times New Roman" w:hAnsi="Times New Roman" w:cs="Times New Roman"/>
                <w:sz w:val="18"/>
                <w:szCs w:val="18"/>
              </w:rPr>
              <w:t xml:space="preserve"> Dz.U.2004.90.864/2 z dnia 2004.04.30</w:t>
            </w:r>
          </w:p>
          <w:p w14:paraId="50449D72" w14:textId="08E3F6EC" w:rsidR="000465C3" w:rsidRPr="001C4D05" w:rsidRDefault="000465C3" w:rsidP="00FD65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B3EAB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63FDED2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25ED41F9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3F98E" w14:textId="5072E953" w:rsidR="000C57E6" w:rsidRPr="000D3F84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47E3B7E" w14:textId="77777777" w:rsidR="000D3F84" w:rsidRDefault="000D3F84" w:rsidP="000D3F8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F997933" w14:textId="76EE7152" w:rsidR="002E6763" w:rsidRPr="00CD1752" w:rsidRDefault="000D3F84" w:rsidP="000D3F8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DCB97B5" w14:textId="1F1BA4E1" w:rsidR="004230AE" w:rsidRDefault="00A921C3" w:rsidP="004230A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 w:rsidRPr="00A921C3">
              <w:rPr>
                <w:rFonts w:ascii="Times New Roman" w:hAnsi="Times New Roman" w:cs="Times New Roman"/>
                <w:b/>
                <w:sz w:val="18"/>
                <w:szCs w:val="18"/>
              </w:rPr>
              <w:t>C1</w:t>
            </w:r>
            <w:r w:rsidRPr="004230A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Zapoznanie studentów z </w:t>
            </w:r>
            <w:r w:rsidR="004230AE"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histori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ą</w:t>
            </w:r>
            <w:r w:rsidR="004230AE"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procesu integracji europejskiej, z rozróżnieniem pojęć: Unia Europejska i</w:t>
            </w:r>
            <w:r w:rsidR="004359A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 w:rsidR="004230AE"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Wspólnota Europejska. </w:t>
            </w:r>
          </w:p>
          <w:p w14:paraId="4687D019" w14:textId="7DDE18F7" w:rsidR="004230AE" w:rsidRDefault="004230AE" w:rsidP="00533EF9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 w:rsidRPr="00A921C3">
              <w:rPr>
                <w:rFonts w:ascii="Times New Roman" w:hAnsi="Times New Roman" w:cs="Times New Roman"/>
                <w:b/>
                <w:sz w:val="18"/>
                <w:szCs w:val="18"/>
              </w:rPr>
              <w:t>C2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Zapoznanie z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hierarchi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ą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źródeł prawa w Unii Europejskiej, a także</w:t>
            </w:r>
            <w:r w:rsidR="004359A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z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rol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ą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instytucji w zakresie funkcjonowania UE. </w:t>
            </w:r>
          </w:p>
          <w:p w14:paraId="68505667" w14:textId="2EEC7A80" w:rsidR="004230AE" w:rsidRPr="00533EF9" w:rsidRDefault="004230AE" w:rsidP="004230AE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 w:rsidRPr="00672C7D">
              <w:rPr>
                <w:rFonts w:ascii="Times New Roman" w:hAnsi="Times New Roman" w:cs="Times New Roman"/>
                <w:b/>
                <w:sz w:val="18"/>
                <w:szCs w:val="18"/>
              </w:rPr>
              <w:t>C 3</w:t>
            </w:r>
            <w:r w:rsidRPr="00672C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5279C">
              <w:rPr>
                <w:rFonts w:ascii="Times New Roman" w:hAnsi="Times New Roman" w:cs="Times New Roman"/>
                <w:sz w:val="18"/>
                <w:szCs w:val="18"/>
              </w:rPr>
              <w:t xml:space="preserve">Zapoznanie z </w:t>
            </w:r>
            <w:r w:rsidRPr="00672C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w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ybran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ymi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sądow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ymi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i pozasądow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ymi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form</w:t>
            </w:r>
            <w:r w:rsidR="0085279C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ami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kontroli przestrzegania prawa unijnego wraz z podstawowymi zasadami interpretacji</w:t>
            </w:r>
            <w:r w:rsidR="004359A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tego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prawa (zasada pierwszeństwa prawa UE przed prawem krajowym, zasada</w:t>
            </w:r>
            <w:r w:rsidR="004359A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bezpośredniości, zasada odpowiedzialności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odszkodowawczej państwa członkowskiego z</w:t>
            </w:r>
            <w:r w:rsidR="004359A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a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naruszenie prawa UE, zasada skutku pośredniego).</w:t>
            </w:r>
          </w:p>
          <w:p w14:paraId="3CF912C4" w14:textId="3A51AAD7" w:rsidR="000D3F84" w:rsidRDefault="000D3F84" w:rsidP="006C266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0D3F84">
              <w:rPr>
                <w:rFonts w:ascii="Times New Roman" w:eastAsiaTheme="minorHAns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Ćwiczenia</w:t>
            </w:r>
          </w:p>
          <w:p w14:paraId="54AB734B" w14:textId="77777777" w:rsidR="000D3F84" w:rsidRDefault="000D3F84" w:rsidP="006C266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 xml:space="preserve">C 1. 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Zapoznanie z</w:t>
            </w:r>
            <w:r w:rsidRPr="000D3F84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systemem instytucjonalnym funkcjonującym w Unii Europejskiej</w:t>
            </w:r>
          </w:p>
          <w:p w14:paraId="04943563" w14:textId="565A02DB" w:rsidR="000D3F84" w:rsidRPr="000D3F84" w:rsidRDefault="000D3F84" w:rsidP="006C266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C 2. Za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poznanie 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z rodzajami funduszy unijnych</w:t>
            </w:r>
            <w:r w:rsidR="00C90A3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,</w:t>
            </w:r>
            <w:r w:rsidR="00411B6A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zasadami ich funkcjonowania,</w:t>
            </w:r>
            <w:r w:rsidR="00C90A3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podziałem na finansowanie działań tzw. twardych i miękkich, </w:t>
            </w:r>
            <w:r w:rsidR="00411B6A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obszarami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oraz możliwościami pozys</w:t>
            </w:r>
            <w:r w:rsidR="00411B6A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kiw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an</w:t>
            </w:r>
            <w:r w:rsidR="00411B6A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ia środków 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14:paraId="68214F9A" w14:textId="33441B14" w:rsidR="000D3F84" w:rsidRDefault="000D3F84" w:rsidP="000D3F8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 w:rsidRPr="00672C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672C7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9B18F9">
              <w:rPr>
                <w:rFonts w:ascii="Times New Roman" w:hAnsi="Times New Roman" w:cs="Times New Roman"/>
                <w:sz w:val="18"/>
                <w:szCs w:val="18"/>
              </w:rPr>
              <w:t xml:space="preserve">Rozwijanie u studentów 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z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najomoś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ci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istoty integracji europejskiej,  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z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podstawo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wymi 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wiadomoś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ciami</w:t>
            </w:r>
            <w:r w:rsidRPr="004230AE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dotyczący</w:t>
            </w:r>
            <w:r w:rsidR="009B18F9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mi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</w:t>
            </w:r>
            <w:r w:rsidR="00C90A3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przystąpienia Polski do UE oraz podstawowy</w:t>
            </w:r>
            <w:r w:rsidR="0087790A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mi </w:t>
            </w:r>
            <w:r w:rsidR="00C90A3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wartości</w:t>
            </w:r>
            <w:r w:rsidR="0087790A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ami</w:t>
            </w:r>
            <w:r w:rsidR="00C90A3B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 xml:space="preserve"> jakimi kieruje się Unia Europejska.</w:t>
            </w:r>
          </w:p>
          <w:p w14:paraId="0893B757" w14:textId="77777777" w:rsidR="008766E0" w:rsidRPr="006C266B" w:rsidRDefault="008766E0" w:rsidP="006C266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0C57E6" w:rsidRPr="00845406" w14:paraId="592EBF58" w14:textId="77777777" w:rsidTr="0008641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BE3B" w14:textId="77777777" w:rsidR="000C57E6" w:rsidRPr="00F90FF6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C76AFEE" w14:textId="77777777" w:rsidR="00F90FF6" w:rsidRPr="008766E0" w:rsidRDefault="008A3CA5" w:rsidP="008A3C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6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504816C6" w14:textId="77777777" w:rsid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1.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Zagadnienia wprowadzaj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ce. Zapoznanie z podstawow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</w:t>
            </w:r>
            <w:r w:rsidR="004359AB">
              <w:rPr>
                <w:rFonts w:ascii="TimesNewRoman" w:eastAsia="TimesNewRoman" w:hAnsi="Times New Roman" w:cs="TimesNew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terminologi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</w:t>
            </w:r>
            <w:r w:rsidR="004359AB">
              <w:rPr>
                <w:rFonts w:ascii="TimesNewRoman" w:eastAsia="TimesNewRoman" w:hAnsi="Times New Roman" w:cs="TimesNew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zwi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zan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</w:t>
            </w:r>
            <w:r w:rsidR="004359AB">
              <w:rPr>
                <w:rFonts w:ascii="TimesNewRoman" w:eastAsia="TimesNewRoman" w:hAnsi="Times New Roman" w:cs="TimesNew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4359AB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z prawem Unii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Europejskiej oraz wyja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ś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nienie</w:t>
            </w:r>
          </w:p>
          <w:p w14:paraId="789E978C" w14:textId="77777777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podstawowych zało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ż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e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ń</w:t>
            </w:r>
            <w:r w:rsidR="004359AB">
              <w:rPr>
                <w:rFonts w:ascii="TimesNewRoman" w:eastAsia="TimesNewRoman" w:hAnsi="Times New Roman" w:cs="TimesNewRoman"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przedmiotu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7728CC18" w14:textId="77777777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8A3CA5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2</w:t>
            </w:r>
            <w:r w:rsidRPr="00F90FF6">
              <w:rPr>
                <w:rFonts w:ascii="Times New Roman" w:eastAsiaTheme="minorHAns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 xml:space="preserve">.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Zarys historii integracji europejskiej – od Traktatów rzymskich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 do Traktatu z Lizbony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732AA6D5" w14:textId="77777777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8A3CA5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3.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Cele UE oraz podstawy pra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wne jej funkcjonowania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6745C814" w14:textId="1E91626E" w:rsidR="001C4D05" w:rsidRDefault="001C4D05" w:rsidP="001C4D05">
            <w:pPr>
              <w:tabs>
                <w:tab w:val="right" w:pos="9641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8A3CA5">
              <w:rPr>
                <w:rFonts w:ascii="Times New Roman" w:hAnsi="Times New Roman" w:cs="Times New Roman"/>
                <w:sz w:val="18"/>
                <w:szCs w:val="18"/>
              </w:rPr>
              <w:t xml:space="preserve">Charakter prawny europejskiego prawa wspólnotowego. </w:t>
            </w:r>
          </w:p>
          <w:p w14:paraId="3586D8C1" w14:textId="77777777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8A3CA5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5.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Ź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ródł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a Prawa UE.</w:t>
            </w:r>
          </w:p>
          <w:p w14:paraId="11362B4C" w14:textId="77777777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- Prawo pierwotne – Traktaty zało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ż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ycielskie, traktaty akcesyjne, traktat reformuj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ce, ogólne zasady</w:t>
            </w:r>
            <w:r w:rsidR="00A7025B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pr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awa i prawo zwyczajowe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6627CB83" w14:textId="77777777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- Prawo pochodne – akty prawodawcze i </w:t>
            </w:r>
            <w:proofErr w:type="spellStart"/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nieprawodawcze</w:t>
            </w:r>
            <w:proofErr w:type="spellEnd"/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 oraz akty prawa pochodnego o</w:t>
            </w:r>
            <w:r w:rsidR="00A7025B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charakterze niewi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ążą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cym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1FB756AE" w14:textId="1995BF31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8A3CA5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6.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Tworzenie prawa w UE na przykładzie wybranego aktu prawodawczego UE (dyrektywa,</w:t>
            </w:r>
            <w:r w:rsidR="00081DFD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rozporz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ą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dzenie, dyrektywa)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57850EE0" w14:textId="77777777" w:rsidR="00F90FF6" w:rsidRPr="00F90FF6" w:rsidRDefault="00F90FF6" w:rsidP="008A3C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8A3CA5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7.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Zasady stosowania prawa UE na płaszczy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ź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nie krajowej – zasada pierwsze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ń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stwa i zasada skutku</w:t>
            </w:r>
            <w:r w:rsidR="00A7025B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bezpo</w:t>
            </w:r>
            <w:r w:rsidRPr="00F90FF6">
              <w:rPr>
                <w:rFonts w:ascii="TimesNewRoman" w:eastAsia="TimesNewRoman" w:hAnsi="Times New Roman" w:cs="TimesNewRoman" w:hint="eastAsia"/>
                <w:color w:val="auto"/>
                <w:sz w:val="18"/>
                <w:szCs w:val="18"/>
                <w:lang w:eastAsia="en-US"/>
              </w:rPr>
              <w:t>ś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redniego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26989406" w14:textId="77777777" w:rsidR="00086411" w:rsidRDefault="00F90FF6" w:rsidP="008A3CA5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8A3CA5">
              <w:rPr>
                <w:rFonts w:ascii="Times New Roman" w:eastAsiaTheme="minorHAnsi" w:hAnsi="Times New Roman" w:cs="Times New Roman"/>
                <w:bCs/>
                <w:color w:val="auto"/>
                <w:sz w:val="18"/>
                <w:szCs w:val="18"/>
                <w:lang w:eastAsia="en-US"/>
              </w:rPr>
              <w:t>8.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Obywatel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stwo Unii Europejskiej</w:t>
            </w:r>
            <w:r w:rsidRPr="00F90FF6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46736C31" w14:textId="729F7D4B" w:rsidR="008A3CA5" w:rsidRPr="008766E0" w:rsidRDefault="0067595B" w:rsidP="008A3CA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Ć</w:t>
            </w:r>
            <w:r w:rsidR="008A3CA5" w:rsidRPr="008766E0">
              <w:rPr>
                <w:rFonts w:ascii="Times New Roman" w:hAnsi="Times New Roman" w:cs="Times New Roman"/>
                <w:b/>
                <w:sz w:val="18"/>
                <w:szCs w:val="18"/>
              </w:rPr>
              <w:t>wiczenia</w:t>
            </w:r>
          </w:p>
          <w:p w14:paraId="4BB4CC8C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1. Zasady działania Unii Europejskiej.</w:t>
            </w:r>
          </w:p>
          <w:p w14:paraId="7217EF0C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System instytucjonalny UE:</w:t>
            </w:r>
          </w:p>
          <w:p w14:paraId="1B3AA303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 xml:space="preserve">- Parlament Europejski, </w:t>
            </w:r>
          </w:p>
          <w:p w14:paraId="338C631D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- Komisja Europejska.</w:t>
            </w:r>
          </w:p>
          <w:p w14:paraId="2BC30BC7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Rada Europejska, </w:t>
            </w:r>
          </w:p>
          <w:p w14:paraId="74A7ACA1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 xml:space="preserve">- Rada UE </w:t>
            </w:r>
          </w:p>
          <w:p w14:paraId="5F96866F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- Trybunał Sprawiedliwo</w:t>
            </w:r>
            <w:r w:rsidRPr="00F74ADC">
              <w:rPr>
                <w:rFonts w:ascii="Times New Roman" w:hAnsi="Times New Roman" w:cs="Times New Roman" w:hint="eastAsia"/>
                <w:sz w:val="18"/>
                <w:szCs w:val="18"/>
              </w:rPr>
              <w:t>ś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ci UE (Trybunał Sprawiedliwo</w:t>
            </w:r>
            <w:r w:rsidRPr="00F74ADC">
              <w:rPr>
                <w:rFonts w:ascii="Times New Roman" w:hAnsi="Times New Roman" w:cs="Times New Roman" w:hint="eastAsia"/>
                <w:sz w:val="18"/>
                <w:szCs w:val="18"/>
              </w:rPr>
              <w:t>ś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ci, S</w:t>
            </w:r>
            <w:r w:rsidRPr="00F74ADC">
              <w:rPr>
                <w:rFonts w:ascii="Times New Roman" w:hAnsi="Times New Roman" w:cs="Times New Roman" w:hint="eastAsia"/>
                <w:sz w:val="18"/>
                <w:szCs w:val="18"/>
              </w:rPr>
              <w:t>ą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d, S</w:t>
            </w:r>
            <w:r w:rsidRPr="00F74ADC">
              <w:rPr>
                <w:rFonts w:ascii="Times New Roman" w:hAnsi="Times New Roman" w:cs="Times New Roman" w:hint="eastAsia"/>
                <w:sz w:val="18"/>
                <w:szCs w:val="18"/>
              </w:rPr>
              <w:t>ą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d ds. Słu</w:t>
            </w:r>
            <w:r w:rsidRPr="00F74ADC">
              <w:rPr>
                <w:rFonts w:ascii="Times New Roman" w:hAnsi="Times New Roman" w:cs="Times New Roman" w:hint="eastAsia"/>
                <w:sz w:val="18"/>
                <w:szCs w:val="18"/>
              </w:rPr>
              <w:t>ż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by Publicznej jako s</w:t>
            </w:r>
            <w:r w:rsidRPr="00F74ADC">
              <w:rPr>
                <w:rFonts w:ascii="Times New Roman" w:hAnsi="Times New Roman" w:cs="Times New Roman" w:hint="eastAsia"/>
                <w:sz w:val="18"/>
                <w:szCs w:val="18"/>
              </w:rPr>
              <w:t>ą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d wyspecjalizowany).</w:t>
            </w:r>
          </w:p>
          <w:p w14:paraId="2CB04A89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- Trybunał Obrachunkowy i instytucje finansowe (Europejski Bank Centralny oraz Europejski System Banków Centralnych,</w:t>
            </w:r>
          </w:p>
          <w:p w14:paraId="02282711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Europejskie Bank Inwestycyjny).</w:t>
            </w:r>
          </w:p>
          <w:p w14:paraId="596F5A9E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 xml:space="preserve">3. Instytucje o charakterze pomocniczym: </w:t>
            </w:r>
          </w:p>
          <w:p w14:paraId="1FF43605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- Komitet Regionów</w:t>
            </w:r>
          </w:p>
          <w:p w14:paraId="76C92765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 xml:space="preserve">- Komitet </w:t>
            </w:r>
            <w:proofErr w:type="spellStart"/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Ekonomiczno</w:t>
            </w:r>
            <w:proofErr w:type="spellEnd"/>
            <w:r w:rsidRPr="00F74ADC">
              <w:rPr>
                <w:rFonts w:ascii="Times New Roman" w:hAnsi="Times New Roman" w:cs="Times New Roman"/>
                <w:sz w:val="18"/>
                <w:szCs w:val="18"/>
              </w:rPr>
              <w:t xml:space="preserve"> –Społeczny </w:t>
            </w:r>
          </w:p>
          <w:p w14:paraId="1DF935C5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4. Rola agencji UE  i omówienie działalno</w:t>
            </w:r>
            <w:r w:rsidRPr="00F74ADC">
              <w:rPr>
                <w:rFonts w:ascii="Times New Roman" w:hAnsi="Times New Roman" w:cs="Times New Roman" w:hint="eastAsia"/>
                <w:sz w:val="18"/>
                <w:szCs w:val="18"/>
              </w:rPr>
              <w:t>ś</w:t>
            </w: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 xml:space="preserve">ci jednej z nich. </w:t>
            </w:r>
          </w:p>
          <w:p w14:paraId="7C908594" w14:textId="77777777" w:rsidR="00F74ADC" w:rsidRPr="00F74ADC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>5. Fundusze Unii Europejskiej – omówienie najważniejszych funduszy, zasad działania i możliwości pozyskania</w:t>
            </w:r>
          </w:p>
          <w:p w14:paraId="17314B9F" w14:textId="4F6175C0" w:rsidR="008A3CA5" w:rsidRPr="008A3CA5" w:rsidRDefault="00F74ADC" w:rsidP="00F74A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ADC">
              <w:rPr>
                <w:rFonts w:ascii="Times New Roman" w:hAnsi="Times New Roman" w:cs="Times New Roman"/>
                <w:sz w:val="18"/>
                <w:szCs w:val="18"/>
              </w:rPr>
              <w:t xml:space="preserve">6. Porozumienia zawierane pomiędzy państwami członkowskimi.  </w:t>
            </w:r>
          </w:p>
        </w:tc>
      </w:tr>
    </w:tbl>
    <w:p w14:paraId="716F6FB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1E2DD3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0C57E6" w:rsidRPr="00845406" w14:paraId="43FE3645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D0F037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2B6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A5F9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3F3AE00E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D5C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F6946" w:rsidRPr="00845406" w14:paraId="5700E35D" w14:textId="77777777" w:rsidTr="003227C8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6F8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F58C9" w14:textId="77777777" w:rsidR="00FF6946" w:rsidRPr="00383908" w:rsidRDefault="002368D8" w:rsidP="007C49C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3908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5A7A63" w:rsidRPr="00383908">
              <w:rPr>
                <w:rFonts w:ascii="Times New Roman" w:hAnsi="Times New Roman" w:cs="Times New Roman"/>
                <w:sz w:val="18"/>
                <w:szCs w:val="18"/>
              </w:rPr>
              <w:t>na specyfikę prawa europejskiego oraz rozpoznaje zależności między nim a prawem międzynarodowym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80E" w14:textId="77777777" w:rsidR="00FF6946" w:rsidRDefault="002368D8" w:rsidP="00F843C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  <w:p w14:paraId="61E1ED2D" w14:textId="77777777" w:rsidR="002368D8" w:rsidRDefault="002368D8" w:rsidP="00F843C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ADM1P_W02</w:t>
            </w:r>
          </w:p>
          <w:p w14:paraId="3354CB1D" w14:textId="77777777" w:rsidR="002368D8" w:rsidRPr="00176DB3" w:rsidRDefault="002368D8" w:rsidP="00F843C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ADM1P_W03</w:t>
            </w:r>
          </w:p>
        </w:tc>
      </w:tr>
      <w:tr w:rsidR="00FF6946" w:rsidRPr="00845406" w14:paraId="0DB9AC13" w14:textId="77777777" w:rsidTr="003227C8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39BB" w14:textId="77777777" w:rsidR="00FF6946" w:rsidRPr="00845406" w:rsidRDefault="005A7A63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left w:val="single" w:sz="4" w:space="0" w:color="000000"/>
              <w:bottom w:val="single" w:sz="4" w:space="0" w:color="000000"/>
            </w:tcBorders>
          </w:tcPr>
          <w:p w14:paraId="40F697B2" w14:textId="77777777" w:rsidR="00FF6946" w:rsidRPr="00383908" w:rsidRDefault="00F843C1" w:rsidP="007C49C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3908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5A7A63" w:rsidRPr="00383908">
              <w:rPr>
                <w:rFonts w:ascii="Times New Roman" w:hAnsi="Times New Roman" w:cs="Times New Roman"/>
                <w:sz w:val="18"/>
                <w:szCs w:val="18"/>
              </w:rPr>
              <w:t>a podstawową wiedzę na temat instytucjonalnych podstaw funkcjonowania Unii Europejskiej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5C8F" w14:textId="77777777" w:rsidR="00FF6946" w:rsidRPr="00176DB3" w:rsidRDefault="002368D8" w:rsidP="00F843C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ADM1P_W08</w:t>
            </w:r>
          </w:p>
        </w:tc>
      </w:tr>
      <w:tr w:rsidR="00FF6946" w:rsidRPr="00845406" w14:paraId="6DC03DBC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0B61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F6946" w:rsidRPr="00845406" w14:paraId="5B177865" w14:textId="77777777" w:rsidTr="00C17FF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49AA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FB5AE" w14:textId="622085D7" w:rsidR="00FF6946" w:rsidRPr="00383908" w:rsidRDefault="00007AC7" w:rsidP="007C49C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r w:rsidR="005A7A63" w:rsidRPr="00383908">
              <w:rPr>
                <w:rFonts w:ascii="Times New Roman" w:hAnsi="Times New Roman" w:cs="Times New Roman"/>
                <w:sz w:val="18"/>
                <w:szCs w:val="18"/>
              </w:rPr>
              <w:t xml:space="preserve"> podstawowe idee procesów integracyjnych w Europie oraz potrafi wyjaśnić cele powstania, strukturę i zasady funkcjonowania Unii Europejskiej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B386" w14:textId="77777777" w:rsidR="00FF6946" w:rsidRDefault="007C49C4" w:rsidP="00F843C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14:paraId="2DE8E7F5" w14:textId="77777777" w:rsidR="007C49C4" w:rsidRPr="00176DB3" w:rsidRDefault="007C49C4" w:rsidP="007C49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F6946" w:rsidRPr="00845406" w14:paraId="7381F604" w14:textId="77777777" w:rsidTr="00C17FF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A517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43A7E" w14:textId="77777777" w:rsidR="00FF6946" w:rsidRPr="00383908" w:rsidRDefault="005A7A63" w:rsidP="007C49C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3908">
              <w:rPr>
                <w:rFonts w:ascii="Times New Roman" w:hAnsi="Times New Roman" w:cs="Times New Roman"/>
                <w:sz w:val="18"/>
                <w:szCs w:val="18"/>
              </w:rPr>
              <w:t>stosuje najważniejsze pojęcia prawa Unii Europejskiej oraz w podstawowym stopniu potrafi scharakteryzować instytucje tego prawa z odwołaniem do aktualnych poglądów doktryny</w:t>
            </w:r>
            <w:r w:rsidR="007C49C4" w:rsidRPr="0038390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3908">
              <w:rPr>
                <w:rFonts w:ascii="Times New Roman" w:hAnsi="Times New Roman" w:cs="Times New Roman"/>
                <w:sz w:val="18"/>
                <w:szCs w:val="18"/>
              </w:rPr>
              <w:t xml:space="preserve"> i orzecznictwa Trybunału Sprawiedliwości Unii Europejskiej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FD7F" w14:textId="77777777" w:rsidR="007C49C4" w:rsidRDefault="007C49C4" w:rsidP="007C49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  <w:p w14:paraId="676D9F37" w14:textId="77777777" w:rsidR="00FF6946" w:rsidRPr="001B1854" w:rsidRDefault="007C49C4" w:rsidP="00F843C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ADM1P_U04</w:t>
            </w:r>
          </w:p>
        </w:tc>
      </w:tr>
      <w:tr w:rsidR="00FF6946" w:rsidRPr="00845406" w14:paraId="73FA3EFA" w14:textId="77777777" w:rsidTr="00C17FF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ED04" w14:textId="77777777" w:rsidR="00FF6946" w:rsidRDefault="00FF6946" w:rsidP="00FF6946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left w:val="single" w:sz="4" w:space="0" w:color="000000"/>
              <w:bottom w:val="single" w:sz="4" w:space="0" w:color="000000"/>
            </w:tcBorders>
          </w:tcPr>
          <w:p w14:paraId="1FDC8C25" w14:textId="77777777" w:rsidR="00FF6946" w:rsidRPr="00383908" w:rsidRDefault="005A7A63" w:rsidP="007C49C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3908">
              <w:rPr>
                <w:rFonts w:ascii="Times New Roman" w:hAnsi="Times New Roman" w:cs="Times New Roman"/>
                <w:sz w:val="18"/>
                <w:szCs w:val="18"/>
              </w:rPr>
              <w:t>potrafi dotrzeć do źródeł prawa europejskiego, stosowanego orzecznictwa oraz literatury i na tej podstawie zaproponować rozwiązania konkretnych problemów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2B2D" w14:textId="77777777" w:rsidR="00FF6946" w:rsidRPr="007C49C4" w:rsidRDefault="007C49C4" w:rsidP="00F843C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49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ADM1P_U11</w:t>
            </w:r>
          </w:p>
        </w:tc>
      </w:tr>
      <w:tr w:rsidR="00FF6946" w:rsidRPr="00845406" w14:paraId="09763624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0B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F6946" w:rsidRPr="00845406" w14:paraId="1E57C769" w14:textId="77777777" w:rsidTr="009326A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AE6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9E55B" w14:textId="77777777" w:rsidR="00FF6946" w:rsidRPr="00383908" w:rsidRDefault="00FF6946" w:rsidP="007C49C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3908">
              <w:rPr>
                <w:rFonts w:ascii="Times New Roman" w:hAnsi="Times New Roman" w:cs="Times New Roman"/>
                <w:sz w:val="18"/>
                <w:szCs w:val="18"/>
              </w:rPr>
              <w:t xml:space="preserve">jest świadomy istoty Unii Europejskiej jako organizacji funkcjonującej w ramach społeczności międzynarodowej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A249" w14:textId="77777777" w:rsidR="00FF6946" w:rsidRDefault="007C49C4" w:rsidP="002368D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  <w:p w14:paraId="077E9647" w14:textId="77777777" w:rsidR="007C49C4" w:rsidRPr="00176DB3" w:rsidRDefault="007C49C4" w:rsidP="002368D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F6946" w:rsidRPr="00845406" w14:paraId="35BC8BC4" w14:textId="77777777" w:rsidTr="009326A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C1AA" w14:textId="77777777" w:rsidR="00FF6946" w:rsidRPr="00845406" w:rsidRDefault="005A7A63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76B47" w14:textId="77777777" w:rsidR="00FF6946" w:rsidRPr="00383908" w:rsidRDefault="005A7A63" w:rsidP="007C49C4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3908">
              <w:rPr>
                <w:rFonts w:ascii="Times New Roman" w:hAnsi="Times New Roman" w:cs="Times New Roman"/>
                <w:sz w:val="18"/>
                <w:szCs w:val="18"/>
              </w:rPr>
              <w:t>potrafi w sposób praktyczny wykorzystać</w:t>
            </w:r>
            <w:r w:rsidR="007C49C4" w:rsidRPr="00383908">
              <w:rPr>
                <w:rFonts w:ascii="Times New Roman" w:hAnsi="Times New Roman" w:cs="Times New Roman"/>
                <w:sz w:val="18"/>
                <w:szCs w:val="18"/>
              </w:rPr>
              <w:t xml:space="preserve"> wiedzę</w:t>
            </w:r>
            <w:r w:rsidR="00FF6946" w:rsidRPr="00383908">
              <w:rPr>
                <w:rFonts w:ascii="Times New Roman" w:hAnsi="Times New Roman" w:cs="Times New Roman"/>
                <w:sz w:val="18"/>
                <w:szCs w:val="18"/>
              </w:rPr>
              <w:t xml:space="preserve"> z zakresu działalności instytucji Unii Europejskiej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5870" w14:textId="77777777" w:rsidR="00FF6946" w:rsidRPr="00176DB3" w:rsidRDefault="007C49C4" w:rsidP="002368D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ADM1P_K04</w:t>
            </w:r>
          </w:p>
        </w:tc>
      </w:tr>
      <w:tr w:rsidR="00FF6946" w:rsidRPr="00845406" w14:paraId="56890F6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B832" w14:textId="77777777" w:rsidR="00FF6946" w:rsidRPr="00845406" w:rsidRDefault="00FF6946" w:rsidP="00FF694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FF6946" w:rsidRPr="00845406" w14:paraId="4DF6F10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1004A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4150C3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AB6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FF6946" w:rsidRPr="00845406" w14:paraId="0D991C8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871A2" w14:textId="77777777" w:rsidR="00FF6946" w:rsidRPr="00845406" w:rsidRDefault="00FF6946" w:rsidP="00FF69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7C0528" w14:textId="77777777" w:rsidR="00FF6946" w:rsidRPr="00845406" w:rsidRDefault="00FF6946" w:rsidP="00FF6946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DE96F0" w14:textId="77777777" w:rsidR="00FF6946" w:rsidRPr="00845406" w:rsidRDefault="00FF6946" w:rsidP="00FF694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51530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EA5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0B09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12D97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2E3AF8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FF6946" w:rsidRPr="00845406" w14:paraId="25F73C3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8381E" w14:textId="77777777" w:rsidR="00FF6946" w:rsidRPr="00845406" w:rsidRDefault="00FF6946" w:rsidP="00FF69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BD9EE7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85F31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C684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C9C708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E56A2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1272C3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935F2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FF6946" w:rsidRPr="00845406" w14:paraId="7D91F201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BF68" w14:textId="77777777" w:rsidR="00FF6946" w:rsidRPr="00845406" w:rsidRDefault="00FF6946" w:rsidP="00FF694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4BFD1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F6FE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47C2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FBEDD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DF11E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BE1CA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5F630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5F9E7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0D2F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1ACCA3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2960C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73A5A3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6402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7B4C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F921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F319C5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308FF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105BE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A3D22A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2764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0D757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FF6946" w:rsidRPr="00845406" w14:paraId="65A7B65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028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B4D488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4A422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D9408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CDA13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96E7BD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1987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F0F7A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5AAB6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6F3D92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99D17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5028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097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FEDD18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4D603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2F80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32BEB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9B4C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6F2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E1FC0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8DFEF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C327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17B37" w:rsidRPr="00845406" w14:paraId="0A1CCF4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4EFE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E25E3C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5F64C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6748F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B27F92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D4DF86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0F91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B1F921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F3D75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57C82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165A3F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069F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AC2B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54E67C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1AD600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08541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55105A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26FC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66AB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6C6EC9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E2E57E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8AEFC2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6946" w:rsidRPr="00845406" w14:paraId="0518C52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9C8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AAAB3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5FB5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9486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9C3A11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6C680E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BEA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FFA14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DBF87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8B45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8C55A2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1FBD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611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9E6C01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22D5D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3422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FE4F5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0078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CE1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0421A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C8AB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36AE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6946" w:rsidRPr="00845406" w14:paraId="64D3A9E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73F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7C80F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BBE0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6AF0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562D48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141FC3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584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2F615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B6C2A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56CF1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53B5A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34D1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0BA5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1B8AF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FE1C8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56F48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AC46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1D9B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956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FA09D3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57BE17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45B6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6946" w:rsidRPr="00845406" w14:paraId="6A4BE0A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E0A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FA6F85" w14:textId="77777777" w:rsidR="00FF694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9501E7" w14:textId="77777777" w:rsidR="00FF694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6EACA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1A0220" w14:textId="77777777" w:rsidR="00FF694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D06F0D" w14:textId="77777777" w:rsidR="00FF694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0F1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EC4570" w14:textId="77777777" w:rsidR="00FF694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30A4FE" w14:textId="77777777" w:rsidR="00FF694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66CC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F8EE15" w14:textId="77777777" w:rsidR="00FF694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6DE7" w14:textId="77777777" w:rsidR="00FF694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FB53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8C9923" w14:textId="77777777" w:rsidR="00FF694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BA278" w14:textId="77777777" w:rsidR="00FF694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4856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AE6F8D" w14:textId="77777777" w:rsidR="00FF694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315D" w14:textId="77777777" w:rsidR="00FF694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9F0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953B5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1444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74436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6946" w:rsidRPr="00845406" w14:paraId="598385F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2CA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1BCF2C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E78FF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8BE846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5ABFEF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2336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354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1221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6A002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52EAA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4C039B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0E9A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F3C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6AFA5E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3DE75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A277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D7D3F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BA98" w14:textId="77777777" w:rsidR="00FF6946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2979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DDBFAD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F3CF1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1D560" w14:textId="77777777" w:rsidR="00FF6946" w:rsidRPr="00845406" w:rsidRDefault="00FF6946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17B37" w:rsidRPr="00845406" w14:paraId="53E1ED7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1027" w14:textId="77777777" w:rsidR="00817B37" w:rsidRDefault="00817B37" w:rsidP="00FF69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F35D37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4BF7E5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720234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CB61F3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79980C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C600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AA5F9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5E0F3C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B391A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4A7F26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B370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B956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DEF693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6598B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5F1CE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DA2A2D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DEFC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2CD6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0FC591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B0B84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59781" w14:textId="77777777" w:rsidR="00817B37" w:rsidRPr="00845406" w:rsidRDefault="00817B37" w:rsidP="00FF69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D5F60D2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6F121E6B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3B687C9D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EFAD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38C92C37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78CA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AA7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2D5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5DE3A28E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B2153F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CE82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02AE" w14:textId="0E7689A6" w:rsidR="000C57E6" w:rsidRPr="00845406" w:rsidRDefault="00D479D6" w:rsidP="00722565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0C57E6" w:rsidRPr="00742D43" w14:paraId="6657AAEC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00E29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F5F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D71F" w14:textId="5F9912E3" w:rsidR="000C57E6" w:rsidRPr="00845406" w:rsidRDefault="000C57E6" w:rsidP="0072256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</w:t>
            </w:r>
          </w:p>
        </w:tc>
      </w:tr>
      <w:tr w:rsidR="000C57E6" w:rsidRPr="00742D43" w14:paraId="3B804A2A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4FC0C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29C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AEAE" w14:textId="47C159A6" w:rsidR="000C57E6" w:rsidRPr="00845406" w:rsidRDefault="000C57E6" w:rsidP="0072256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</w:t>
            </w:r>
            <w:r w:rsidR="007225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cia za kolokwium zaliczeniowe</w:t>
            </w:r>
          </w:p>
        </w:tc>
      </w:tr>
      <w:tr w:rsidR="000C57E6" w:rsidRPr="00742D43" w14:paraId="696E9E21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9F7F6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75E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90697" w14:textId="5F0BD217" w:rsidR="000C57E6" w:rsidRPr="00845406" w:rsidRDefault="000C57E6" w:rsidP="0072256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0C57E6" w:rsidRPr="00742D43" w14:paraId="323506FE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53892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180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6A7C" w14:textId="3A260147" w:rsidR="000C57E6" w:rsidRPr="00845406" w:rsidRDefault="00D479D6" w:rsidP="0072256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F74ADC" w:rsidRPr="00742D43" w14:paraId="6A491B47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A0023" w14:textId="77777777" w:rsidR="00F74ADC" w:rsidRPr="008115D0" w:rsidRDefault="00F74ADC" w:rsidP="00F74ADC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0B98" w14:textId="77777777" w:rsidR="00F74ADC" w:rsidRPr="00845406" w:rsidRDefault="00F74ADC" w:rsidP="00F74ADC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D87A3" w14:textId="750FCA6D" w:rsidR="00F74ADC" w:rsidRPr="00845406" w:rsidRDefault="00F74ADC" w:rsidP="00F74ADC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</w:t>
            </w:r>
          </w:p>
        </w:tc>
      </w:tr>
      <w:tr w:rsidR="00F74ADC" w:rsidRPr="00742D43" w14:paraId="11ACF365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8734C" w14:textId="77777777" w:rsidR="00F74ADC" w:rsidRPr="00845406" w:rsidRDefault="00F74ADC" w:rsidP="00F74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F1CC" w14:textId="77777777" w:rsidR="00F74ADC" w:rsidRPr="00845406" w:rsidRDefault="00F74ADC" w:rsidP="00F74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C1A8" w14:textId="16B6E81F" w:rsidR="00F74ADC" w:rsidRPr="00845406" w:rsidRDefault="00F74ADC" w:rsidP="00F74AD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</w:t>
            </w:r>
          </w:p>
        </w:tc>
      </w:tr>
      <w:tr w:rsidR="00F74ADC" w:rsidRPr="00742D43" w14:paraId="4AFD0117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2275C" w14:textId="77777777" w:rsidR="00F74ADC" w:rsidRPr="00845406" w:rsidRDefault="00F74ADC" w:rsidP="00F74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BAB4" w14:textId="77777777" w:rsidR="00F74ADC" w:rsidRPr="00845406" w:rsidRDefault="00F74ADC" w:rsidP="00F74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73C5" w14:textId="7D10A5CF" w:rsidR="00F74ADC" w:rsidRPr="00845406" w:rsidRDefault="00F74ADC" w:rsidP="00F74AD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50% zajęć</w:t>
            </w:r>
          </w:p>
        </w:tc>
      </w:tr>
      <w:tr w:rsidR="00F74ADC" w:rsidRPr="00742D43" w14:paraId="0F918BD9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FB5DB" w14:textId="77777777" w:rsidR="00F74ADC" w:rsidRPr="00845406" w:rsidRDefault="00F74ADC" w:rsidP="00F74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7EFB" w14:textId="77777777" w:rsidR="00F74ADC" w:rsidRPr="00845406" w:rsidRDefault="00F74ADC" w:rsidP="00F74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436A8" w14:textId="17A40E26" w:rsidR="00F74ADC" w:rsidRPr="00845406" w:rsidRDefault="00F74ADC" w:rsidP="00F74AD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aktywność studenta na 60% zajęciach</w:t>
            </w:r>
          </w:p>
        </w:tc>
      </w:tr>
      <w:tr w:rsidR="00F74ADC" w:rsidRPr="00742D43" w14:paraId="3D18A483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BBE0" w14:textId="77777777" w:rsidR="00F74ADC" w:rsidRPr="00845406" w:rsidRDefault="00F74ADC" w:rsidP="00F74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7B7C" w14:textId="77777777" w:rsidR="00F74ADC" w:rsidRPr="00845406" w:rsidRDefault="00F74ADC" w:rsidP="00F74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083B" w14:textId="501F5155" w:rsidR="00F74ADC" w:rsidRPr="00845406" w:rsidRDefault="00F74ADC" w:rsidP="00F74ADC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 ogólnej liczby punktów do zdobycia za kolokwium zaliczeniowe oraz aktywność studenta na 80 % zajęć</w:t>
            </w:r>
          </w:p>
        </w:tc>
      </w:tr>
    </w:tbl>
    <w:p w14:paraId="756C10C6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4DCC7E4E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63D14E24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5246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1C66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28D95B03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BA27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CC5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0AA8C1E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50D6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AFFF7F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5A32BE7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53B1C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3983C7" w14:textId="77777777" w:rsidR="0039050F" w:rsidRPr="001E4083" w:rsidRDefault="00672C7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144A1" w14:textId="77777777" w:rsidR="0039050F" w:rsidRPr="001E4083" w:rsidRDefault="00672C7D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A1029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39050F" w:rsidRPr="001E4083" w14:paraId="0D6D4D9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A261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5F51" w14:textId="566F7500" w:rsidR="0039050F" w:rsidRPr="00845406" w:rsidRDefault="00672C7D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50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9ED7" w14:textId="71C8362C" w:rsidR="0039050F" w:rsidRPr="00845406" w:rsidRDefault="00672C7D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50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D34D6" w:rsidRPr="001E4083" w14:paraId="283A45C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39A8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AFA9" w14:textId="29AF9A48" w:rsidR="003D34D6" w:rsidRDefault="00B50C8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A0C4" w14:textId="260FC283" w:rsidR="003D34D6" w:rsidRDefault="00B50C8C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39050F" w:rsidRPr="001E4083" w14:paraId="793237E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DE7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479C" w14:textId="1A659696" w:rsidR="0039050F" w:rsidRPr="00845406" w:rsidRDefault="0039050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0CB4" w14:textId="5C81F49B" w:rsidR="0039050F" w:rsidRPr="00845406" w:rsidRDefault="0039050F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115BA" w:rsidRPr="001E4083" w14:paraId="2D9C0574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82D1B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72CAA" w14:textId="77777777" w:rsidR="00D115BA" w:rsidRPr="00A10291" w:rsidRDefault="008802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495704" w14:textId="77777777" w:rsidR="00D115BA" w:rsidRPr="005F76B1" w:rsidRDefault="008802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3D34D6" w:rsidRPr="001E4083" w14:paraId="0F38E16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F42D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55AA" w14:textId="77777777" w:rsidR="003D34D6" w:rsidRDefault="0088027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2323" w14:textId="77777777" w:rsidR="003D34D6" w:rsidRDefault="0088027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D34D6" w:rsidRPr="001E4083" w14:paraId="1ECC6DA7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6D8E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AB36" w14:textId="77777777" w:rsidR="003D34D6" w:rsidRDefault="0088027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3386" w14:textId="77777777" w:rsidR="003D34D6" w:rsidRDefault="0088027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39050F" w:rsidRPr="001E4083" w14:paraId="3BB06D89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976E92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7994C9" w14:textId="77777777" w:rsidR="0039050F" w:rsidRPr="00845406" w:rsidRDefault="0088027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D89E8" w14:textId="77777777" w:rsidR="0039050F" w:rsidRPr="00845406" w:rsidRDefault="00880276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14:paraId="47EBA44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66FBF4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DCC204" w14:textId="77777777" w:rsidR="0039050F" w:rsidRPr="001E1B38" w:rsidRDefault="00672C7D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0BEF64" w14:textId="77777777" w:rsidR="0039050F" w:rsidRPr="001E1B38" w:rsidRDefault="00672C7D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360AD0B3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57F53BBE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7601C442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14:paraId="3CD308D2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706290C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2617326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F8B3EB7" w14:textId="77777777" w:rsidR="00A24952" w:rsidRDefault="00A24952"/>
    <w:sectPr w:rsidR="00A24952" w:rsidSect="002A022D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7636"/>
    <w:rsid w:val="00007AC7"/>
    <w:rsid w:val="00013870"/>
    <w:rsid w:val="000465C3"/>
    <w:rsid w:val="00081DFD"/>
    <w:rsid w:val="00086411"/>
    <w:rsid w:val="000B3B27"/>
    <w:rsid w:val="000C3CEB"/>
    <w:rsid w:val="000C57E6"/>
    <w:rsid w:val="000D3F84"/>
    <w:rsid w:val="0012752C"/>
    <w:rsid w:val="001929C0"/>
    <w:rsid w:val="00192A8C"/>
    <w:rsid w:val="001C4D05"/>
    <w:rsid w:val="002368D8"/>
    <w:rsid w:val="002442C6"/>
    <w:rsid w:val="00246A6B"/>
    <w:rsid w:val="002A022D"/>
    <w:rsid w:val="002C7E5D"/>
    <w:rsid w:val="002E1D97"/>
    <w:rsid w:val="002E6763"/>
    <w:rsid w:val="00317DEF"/>
    <w:rsid w:val="003637AE"/>
    <w:rsid w:val="00383908"/>
    <w:rsid w:val="0039050F"/>
    <w:rsid w:val="00392880"/>
    <w:rsid w:val="003A67B1"/>
    <w:rsid w:val="003B5465"/>
    <w:rsid w:val="003D34D6"/>
    <w:rsid w:val="00411B6A"/>
    <w:rsid w:val="004230AE"/>
    <w:rsid w:val="00424CD5"/>
    <w:rsid w:val="004359AB"/>
    <w:rsid w:val="00460289"/>
    <w:rsid w:val="004A2365"/>
    <w:rsid w:val="004F6F95"/>
    <w:rsid w:val="00500BB3"/>
    <w:rsid w:val="00527DF4"/>
    <w:rsid w:val="00530F88"/>
    <w:rsid w:val="00533EF9"/>
    <w:rsid w:val="005431BA"/>
    <w:rsid w:val="00552BDB"/>
    <w:rsid w:val="005956E7"/>
    <w:rsid w:val="005A7A63"/>
    <w:rsid w:val="005F76B1"/>
    <w:rsid w:val="00630A24"/>
    <w:rsid w:val="00665752"/>
    <w:rsid w:val="00672C7D"/>
    <w:rsid w:val="0067595B"/>
    <w:rsid w:val="006C266B"/>
    <w:rsid w:val="007218D5"/>
    <w:rsid w:val="00722565"/>
    <w:rsid w:val="00757DC9"/>
    <w:rsid w:val="0076397B"/>
    <w:rsid w:val="007C49C4"/>
    <w:rsid w:val="007C5EB8"/>
    <w:rsid w:val="007D62A0"/>
    <w:rsid w:val="00817B37"/>
    <w:rsid w:val="00826D5B"/>
    <w:rsid w:val="008502E0"/>
    <w:rsid w:val="0085279C"/>
    <w:rsid w:val="008645BF"/>
    <w:rsid w:val="008766E0"/>
    <w:rsid w:val="0087790A"/>
    <w:rsid w:val="00880276"/>
    <w:rsid w:val="0088336B"/>
    <w:rsid w:val="00887388"/>
    <w:rsid w:val="00892B4E"/>
    <w:rsid w:val="008A3CA5"/>
    <w:rsid w:val="008B15A3"/>
    <w:rsid w:val="008E00BE"/>
    <w:rsid w:val="009B18F9"/>
    <w:rsid w:val="00A10291"/>
    <w:rsid w:val="00A24952"/>
    <w:rsid w:val="00A25DB3"/>
    <w:rsid w:val="00A3403A"/>
    <w:rsid w:val="00A7025B"/>
    <w:rsid w:val="00A73B1B"/>
    <w:rsid w:val="00A921C3"/>
    <w:rsid w:val="00B4799F"/>
    <w:rsid w:val="00B50C8C"/>
    <w:rsid w:val="00B840FD"/>
    <w:rsid w:val="00BB2A48"/>
    <w:rsid w:val="00BD6C82"/>
    <w:rsid w:val="00BE7CEB"/>
    <w:rsid w:val="00C6523F"/>
    <w:rsid w:val="00C738E3"/>
    <w:rsid w:val="00C90A3B"/>
    <w:rsid w:val="00C91048"/>
    <w:rsid w:val="00C96CF5"/>
    <w:rsid w:val="00CC6764"/>
    <w:rsid w:val="00D115BA"/>
    <w:rsid w:val="00D479D6"/>
    <w:rsid w:val="00D85596"/>
    <w:rsid w:val="00D9282C"/>
    <w:rsid w:val="00DE4609"/>
    <w:rsid w:val="00DF6269"/>
    <w:rsid w:val="00E05E68"/>
    <w:rsid w:val="00E559D6"/>
    <w:rsid w:val="00E70317"/>
    <w:rsid w:val="00EF4B25"/>
    <w:rsid w:val="00EF6D9F"/>
    <w:rsid w:val="00F41A84"/>
    <w:rsid w:val="00F62817"/>
    <w:rsid w:val="00F74ADC"/>
    <w:rsid w:val="00F843C1"/>
    <w:rsid w:val="00F90FF6"/>
    <w:rsid w:val="00F94E79"/>
    <w:rsid w:val="00FD6519"/>
    <w:rsid w:val="00FE0697"/>
    <w:rsid w:val="00FF6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3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A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C5EB8"/>
    <w:pPr>
      <w:ind w:left="720"/>
      <w:contextualSpacing/>
    </w:pPr>
  </w:style>
  <w:style w:type="paragraph" w:styleId="Stopka">
    <w:name w:val="footer"/>
    <w:basedOn w:val="Normalny"/>
    <w:link w:val="StopkaZnak"/>
    <w:rsid w:val="00A921C3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StopkaZnak">
    <w:name w:val="Stopka Znak"/>
    <w:basedOn w:val="Domylnaczcionkaakapitu"/>
    <w:link w:val="Stopka"/>
    <w:rsid w:val="00A921C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wrtext">
    <w:name w:val="wrtext"/>
    <w:basedOn w:val="Domylnaczcionkaakapitu"/>
    <w:rsid w:val="0012752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A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A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C5EB8"/>
    <w:pPr>
      <w:ind w:left="720"/>
      <w:contextualSpacing/>
    </w:pPr>
  </w:style>
  <w:style w:type="paragraph" w:styleId="Stopka">
    <w:name w:val="footer"/>
    <w:basedOn w:val="Normalny"/>
    <w:link w:val="StopkaZnak"/>
    <w:rsid w:val="00A921C3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StopkaZnak">
    <w:name w:val="Stopka Znak"/>
    <w:basedOn w:val="Domylnaczcionkaakapitu"/>
    <w:link w:val="Stopka"/>
    <w:rsid w:val="00A921C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wrtext">
    <w:name w:val="wrtext"/>
    <w:basedOn w:val="Domylnaczcionkaakapitu"/>
    <w:rsid w:val="0012752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A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1115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2</cp:revision>
  <dcterms:created xsi:type="dcterms:W3CDTF">2024-06-05T11:06:00Z</dcterms:created>
  <dcterms:modified xsi:type="dcterms:W3CDTF">2024-06-05T11:06:00Z</dcterms:modified>
</cp:coreProperties>
</file>