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0D11A4" w14:textId="77777777" w:rsidR="00B234E8" w:rsidRPr="005811D3" w:rsidRDefault="00000000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noProof/>
        </w:rPr>
        <w:pict w14:anchorId="022BCF4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-5.4pt;margin-top:8pt;width:242.95pt;height:105.95pt;z-index:251657728;visibility:visible;mso-wrap-distance-left:0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65"/>
                    <w:gridCol w:w="3895"/>
                  </w:tblGrid>
                  <w:tr w:rsidR="00CD7D2F" w:rsidRPr="00FE631E" w14:paraId="60F72250" w14:textId="77777777">
                    <w:trPr>
                      <w:trHeight w:val="424"/>
                    </w:trPr>
                    <w:tc>
                      <w:tcPr>
                        <w:tcW w:w="4860" w:type="dxa"/>
                        <w:gridSpan w:val="2"/>
                        <w:vAlign w:val="center"/>
                      </w:tcPr>
                      <w:p w14:paraId="0B4F9EF6" w14:textId="77777777" w:rsidR="00CD7D2F" w:rsidRPr="00FE631E" w:rsidRDefault="00CD7D2F">
                        <w:pPr>
                          <w:pStyle w:val="Tytu"/>
                          <w:snapToGrid w:val="0"/>
                          <w:jc w:val="left"/>
                          <w:rPr>
                            <w:spacing w:val="-4"/>
                            <w:sz w:val="18"/>
                            <w:szCs w:val="18"/>
                          </w:rPr>
                        </w:pPr>
                        <w:r w:rsidRPr="00FE631E">
                          <w:rPr>
                            <w:spacing w:val="-4"/>
                            <w:sz w:val="18"/>
                            <w:szCs w:val="18"/>
                          </w:rPr>
                          <w:t>Data wpływu sprawozdania</w:t>
                        </w:r>
                      </w:p>
                      <w:p w14:paraId="0891EB28" w14:textId="77777777" w:rsidR="00CD7D2F" w:rsidRPr="00FE631E" w:rsidRDefault="00CD7D2F">
                        <w:pPr>
                          <w:pStyle w:val="Tytu"/>
                          <w:jc w:val="left"/>
                          <w:rPr>
                            <w:spacing w:val="-4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D7D2F" w:rsidRPr="00FE631E" w14:paraId="1B66EE31" w14:textId="77777777">
                    <w:trPr>
                      <w:trHeight w:val="424"/>
                    </w:trPr>
                    <w:tc>
                      <w:tcPr>
                        <w:tcW w:w="4860" w:type="dxa"/>
                        <w:gridSpan w:val="2"/>
                        <w:vAlign w:val="center"/>
                      </w:tcPr>
                      <w:p w14:paraId="03EC4D87" w14:textId="77777777" w:rsidR="00CD7D2F" w:rsidRPr="00FE631E" w:rsidRDefault="00CD7D2F">
                        <w:pPr>
                          <w:pStyle w:val="Tytu"/>
                          <w:snapToGrid w:val="0"/>
                          <w:jc w:val="left"/>
                          <w:rPr>
                            <w:spacing w:val="-4"/>
                            <w:sz w:val="18"/>
                            <w:szCs w:val="18"/>
                          </w:rPr>
                        </w:pPr>
                        <w:r w:rsidRPr="00FE631E">
                          <w:rPr>
                            <w:spacing w:val="-4"/>
                            <w:sz w:val="18"/>
                            <w:szCs w:val="18"/>
                          </w:rPr>
                          <w:t>…………………………………………………….........</w:t>
                        </w:r>
                      </w:p>
                    </w:tc>
                  </w:tr>
                  <w:tr w:rsidR="00CD7D2F" w:rsidRPr="00FE631E" w14:paraId="78368B3E" w14:textId="77777777">
                    <w:trPr>
                      <w:trHeight w:hRule="exact" w:val="424"/>
                    </w:trPr>
                    <w:tc>
                      <w:tcPr>
                        <w:tcW w:w="965" w:type="dxa"/>
                        <w:vAlign w:val="center"/>
                      </w:tcPr>
                      <w:p w14:paraId="56CC7F7A" w14:textId="77777777" w:rsidR="00CD7D2F" w:rsidRPr="00FE631E" w:rsidRDefault="00CD7D2F">
                        <w:pPr>
                          <w:pStyle w:val="Tytu"/>
                          <w:snapToGrid w:val="0"/>
                          <w:jc w:val="both"/>
                          <w:rPr>
                            <w:spacing w:val="-4"/>
                            <w:sz w:val="18"/>
                            <w:szCs w:val="18"/>
                          </w:rPr>
                        </w:pPr>
                        <w:r w:rsidRPr="00FE631E">
                          <w:rPr>
                            <w:spacing w:val="-4"/>
                            <w:sz w:val="18"/>
                            <w:szCs w:val="18"/>
                          </w:rPr>
                          <w:t>Numer:</w:t>
                        </w:r>
                      </w:p>
                    </w:tc>
                    <w:tc>
                      <w:tcPr>
                        <w:tcW w:w="3895" w:type="dxa"/>
                        <w:vAlign w:val="center"/>
                      </w:tcPr>
                      <w:p w14:paraId="7E435591" w14:textId="77777777" w:rsidR="00CD7D2F" w:rsidRPr="00FE631E" w:rsidRDefault="00CD7D2F">
                        <w:pPr>
                          <w:pStyle w:val="Tytu"/>
                          <w:snapToGrid w:val="0"/>
                          <w:jc w:val="both"/>
                          <w:rPr>
                            <w:spacing w:val="-4"/>
                            <w:sz w:val="18"/>
                            <w:szCs w:val="18"/>
                          </w:rPr>
                        </w:pPr>
                        <w:r w:rsidRPr="00FE631E">
                          <w:rPr>
                            <w:spacing w:val="-4"/>
                            <w:sz w:val="18"/>
                            <w:szCs w:val="18"/>
                          </w:rPr>
                          <w:t>……………………..................................</w:t>
                        </w:r>
                      </w:p>
                    </w:tc>
                  </w:tr>
                  <w:tr w:rsidR="00CD7D2F" w:rsidRPr="00FE631E" w14:paraId="7194CBBD" w14:textId="77777777">
                    <w:trPr>
                      <w:trHeight w:hRule="exact" w:val="424"/>
                    </w:trPr>
                    <w:tc>
                      <w:tcPr>
                        <w:tcW w:w="965" w:type="dxa"/>
                        <w:vAlign w:val="center"/>
                      </w:tcPr>
                      <w:p w14:paraId="5F88B532" w14:textId="77777777" w:rsidR="00CD7D2F" w:rsidRPr="00FE631E" w:rsidRDefault="00CD7D2F">
                        <w:pPr>
                          <w:pStyle w:val="Tytu"/>
                          <w:snapToGrid w:val="0"/>
                          <w:jc w:val="both"/>
                          <w:rPr>
                            <w:spacing w:val="-4"/>
                            <w:sz w:val="18"/>
                            <w:szCs w:val="18"/>
                          </w:rPr>
                        </w:pPr>
                        <w:r w:rsidRPr="00FE631E">
                          <w:rPr>
                            <w:spacing w:val="-4"/>
                            <w:sz w:val="18"/>
                            <w:szCs w:val="18"/>
                          </w:rPr>
                          <w:t>Podpis:</w:t>
                        </w:r>
                      </w:p>
                    </w:tc>
                    <w:tc>
                      <w:tcPr>
                        <w:tcW w:w="3895" w:type="dxa"/>
                        <w:vAlign w:val="center"/>
                      </w:tcPr>
                      <w:p w14:paraId="1A9C19C1" w14:textId="77777777" w:rsidR="00CD7D2F" w:rsidRPr="00FE631E" w:rsidRDefault="00CD7D2F">
                        <w:pPr>
                          <w:pStyle w:val="Tytu"/>
                          <w:snapToGrid w:val="0"/>
                          <w:jc w:val="both"/>
                          <w:rPr>
                            <w:spacing w:val="-4"/>
                            <w:sz w:val="18"/>
                            <w:szCs w:val="18"/>
                          </w:rPr>
                        </w:pPr>
                        <w:r w:rsidRPr="00FE631E">
                          <w:rPr>
                            <w:spacing w:val="-4"/>
                            <w:sz w:val="18"/>
                            <w:szCs w:val="18"/>
                          </w:rPr>
                          <w:t>……………………..................................</w:t>
                        </w:r>
                      </w:p>
                    </w:tc>
                  </w:tr>
                </w:tbl>
                <w:p w14:paraId="74590E90" w14:textId="77777777" w:rsidR="00CD7D2F" w:rsidRPr="00FE631E" w:rsidRDefault="00CD7D2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 side="largest" anchorx="margin"/>
          </v:shape>
        </w:pict>
      </w:r>
    </w:p>
    <w:p w14:paraId="066AA523" w14:textId="77777777" w:rsidR="00B234E8" w:rsidRPr="005811D3" w:rsidRDefault="00B234E8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44DDA33" w14:textId="77777777" w:rsidR="00B234E8" w:rsidRPr="005811D3" w:rsidRDefault="00B234E8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9B8AFFD" w14:textId="77777777" w:rsidR="00B234E8" w:rsidRPr="005811D3" w:rsidRDefault="00B234E8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D447878" w14:textId="77777777" w:rsidR="00B234E8" w:rsidRPr="005811D3" w:rsidRDefault="00B234E8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6CE5B4E" w14:textId="77777777" w:rsidR="00B234E8" w:rsidRPr="005811D3" w:rsidRDefault="00B234E8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5916C4B" w14:textId="77777777" w:rsidR="00B234E8" w:rsidRPr="005811D3" w:rsidRDefault="00B234E8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6F4527D" w14:textId="35A6FD78" w:rsidR="00EB121F" w:rsidRPr="005811D3" w:rsidRDefault="00EB121F" w:rsidP="00EB121F">
      <w:pPr>
        <w:spacing w:line="360" w:lineRule="auto"/>
        <w:jc w:val="center"/>
        <w:rPr>
          <w:rFonts w:asciiTheme="minorHAnsi" w:hAnsiTheme="minorHAnsi" w:cstheme="minorHAnsi"/>
          <w:b/>
          <w:caps/>
          <w:sz w:val="26"/>
          <w:szCs w:val="26"/>
        </w:rPr>
      </w:pPr>
      <w:r w:rsidRPr="005811D3">
        <w:rPr>
          <w:rFonts w:asciiTheme="minorHAnsi" w:hAnsiTheme="minorHAnsi" w:cstheme="minorHAnsi"/>
          <w:b/>
          <w:caps/>
          <w:sz w:val="26"/>
          <w:szCs w:val="26"/>
        </w:rPr>
        <w:t xml:space="preserve">SPRAWOZDANIE Z </w:t>
      </w:r>
      <w:r w:rsidR="00057659" w:rsidRPr="005811D3">
        <w:rPr>
          <w:rFonts w:asciiTheme="minorHAnsi" w:hAnsiTheme="minorHAnsi" w:cstheme="minorHAnsi"/>
          <w:b/>
          <w:caps/>
          <w:sz w:val="26"/>
          <w:szCs w:val="26"/>
        </w:rPr>
        <w:t xml:space="preserve">działalności </w:t>
      </w:r>
      <w:r w:rsidR="00845169" w:rsidRPr="005811D3">
        <w:rPr>
          <w:rFonts w:asciiTheme="minorHAnsi" w:hAnsiTheme="minorHAnsi" w:cstheme="minorHAnsi"/>
          <w:b/>
          <w:caps/>
          <w:sz w:val="26"/>
          <w:szCs w:val="26"/>
        </w:rPr>
        <w:br/>
      </w:r>
      <w:r w:rsidR="00346753" w:rsidRPr="005811D3">
        <w:rPr>
          <w:rFonts w:asciiTheme="minorHAnsi" w:hAnsiTheme="minorHAnsi" w:cstheme="minorHAnsi"/>
          <w:b/>
          <w:caps/>
          <w:sz w:val="26"/>
          <w:szCs w:val="26"/>
        </w:rPr>
        <w:t>Komisji ds. Kształcenia w Filii (</w:t>
      </w:r>
      <w:proofErr w:type="spellStart"/>
      <w:r w:rsidR="00346753" w:rsidRPr="005811D3">
        <w:rPr>
          <w:rFonts w:asciiTheme="minorHAnsi" w:hAnsiTheme="minorHAnsi" w:cstheme="minorHAnsi"/>
          <w:b/>
          <w:caps/>
          <w:sz w:val="26"/>
          <w:szCs w:val="26"/>
        </w:rPr>
        <w:t>KKF</w:t>
      </w:r>
      <w:proofErr w:type="spellEnd"/>
      <w:r w:rsidR="00346753" w:rsidRPr="005811D3">
        <w:rPr>
          <w:rFonts w:asciiTheme="minorHAnsi" w:hAnsiTheme="minorHAnsi" w:cstheme="minorHAnsi"/>
          <w:b/>
          <w:caps/>
          <w:sz w:val="26"/>
          <w:szCs w:val="26"/>
        </w:rPr>
        <w:t>)</w:t>
      </w:r>
      <w:r w:rsidR="00CA399D" w:rsidRPr="005811D3">
        <w:rPr>
          <w:rFonts w:asciiTheme="minorHAnsi" w:hAnsiTheme="minorHAnsi" w:cstheme="minorHAnsi"/>
          <w:b/>
          <w:caps/>
          <w:sz w:val="26"/>
          <w:szCs w:val="26"/>
        </w:rPr>
        <w:t>.</w:t>
      </w:r>
    </w:p>
    <w:p w14:paraId="060D45B4" w14:textId="77777777" w:rsidR="00CA399D" w:rsidRPr="005811D3" w:rsidRDefault="00CA399D" w:rsidP="00CA399D">
      <w:pPr>
        <w:spacing w:after="200" w:line="360" w:lineRule="auto"/>
        <w:ind w:left="-425" w:right="-431"/>
        <w:jc w:val="center"/>
        <w:rPr>
          <w:rFonts w:asciiTheme="minorHAnsi" w:hAnsiTheme="minorHAnsi" w:cstheme="minorHAnsi"/>
          <w:b/>
          <w:caps/>
          <w:sz w:val="26"/>
          <w:szCs w:val="26"/>
        </w:rPr>
      </w:pPr>
      <w:r w:rsidRPr="005811D3">
        <w:rPr>
          <w:rFonts w:asciiTheme="minorHAnsi" w:hAnsiTheme="minorHAnsi" w:cstheme="minorHAnsi"/>
          <w:b/>
          <w:caps/>
          <w:sz w:val="26"/>
          <w:szCs w:val="26"/>
        </w:rPr>
        <w:t xml:space="preserve">RAPORT SAMOOCENY Z FUNKCJONOWANIA </w:t>
      </w:r>
      <w:proofErr w:type="spellStart"/>
      <w:r w:rsidR="00BC6E3C" w:rsidRPr="005811D3">
        <w:rPr>
          <w:rFonts w:asciiTheme="minorHAnsi" w:hAnsiTheme="minorHAnsi" w:cstheme="minorHAnsi"/>
          <w:b/>
          <w:i/>
          <w:caps/>
          <w:sz w:val="26"/>
          <w:szCs w:val="26"/>
        </w:rPr>
        <w:t>WSZ</w:t>
      </w:r>
      <w:r w:rsidRPr="005811D3">
        <w:rPr>
          <w:rFonts w:asciiTheme="minorHAnsi" w:hAnsiTheme="minorHAnsi" w:cstheme="minorHAnsi"/>
          <w:b/>
          <w:i/>
          <w:caps/>
          <w:sz w:val="26"/>
          <w:szCs w:val="26"/>
        </w:rPr>
        <w:t>K</w:t>
      </w:r>
      <w:proofErr w:type="spellEnd"/>
      <w:r w:rsidRPr="005811D3">
        <w:rPr>
          <w:rFonts w:asciiTheme="minorHAnsi" w:hAnsiTheme="minorHAnsi" w:cstheme="minorHAnsi"/>
          <w:b/>
          <w:caps/>
          <w:sz w:val="26"/>
          <w:szCs w:val="26"/>
        </w:rPr>
        <w:t xml:space="preserve"> NA POZIOMIE </w:t>
      </w:r>
      <w:r w:rsidR="00346753" w:rsidRPr="005811D3">
        <w:rPr>
          <w:rFonts w:asciiTheme="minorHAnsi" w:hAnsiTheme="minorHAnsi" w:cstheme="minorHAnsi"/>
          <w:b/>
          <w:caps/>
          <w:sz w:val="26"/>
          <w:szCs w:val="26"/>
        </w:rPr>
        <w:t>FILII</w:t>
      </w:r>
    </w:p>
    <w:tbl>
      <w:tblPr>
        <w:tblW w:w="9754" w:type="dxa"/>
        <w:jc w:val="center"/>
        <w:tblLayout w:type="fixed"/>
        <w:tblLook w:val="0000" w:firstRow="0" w:lastRow="0" w:firstColumn="0" w:lastColumn="0" w:noHBand="0" w:noVBand="0"/>
      </w:tblPr>
      <w:tblGrid>
        <w:gridCol w:w="2196"/>
        <w:gridCol w:w="7558"/>
      </w:tblGrid>
      <w:tr w:rsidR="00201170" w:rsidRPr="005811D3" w14:paraId="629B8968" w14:textId="77777777" w:rsidTr="00EB121F">
        <w:trPr>
          <w:trHeight w:val="418"/>
          <w:jc w:val="center"/>
        </w:trPr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7B806" w14:textId="77777777" w:rsidR="00201170" w:rsidRPr="005811D3" w:rsidRDefault="00201170" w:rsidP="00042E17">
            <w:pPr>
              <w:snapToGrid w:val="0"/>
              <w:spacing w:line="240" w:lineRule="atLeast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811D3">
              <w:rPr>
                <w:rFonts w:asciiTheme="minorHAnsi" w:hAnsiTheme="minorHAnsi" w:cstheme="minorHAnsi"/>
                <w:b/>
                <w:caps/>
              </w:rPr>
              <w:t xml:space="preserve">Informacje podstawowe </w:t>
            </w:r>
          </w:p>
        </w:tc>
      </w:tr>
      <w:tr w:rsidR="00201170" w:rsidRPr="005811D3" w14:paraId="56F90428" w14:textId="77777777" w:rsidTr="00890209">
        <w:trPr>
          <w:trHeight w:val="454"/>
          <w:jc w:val="center"/>
        </w:trPr>
        <w:tc>
          <w:tcPr>
            <w:tcW w:w="2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342B6" w14:textId="77777777" w:rsidR="00201170" w:rsidRPr="005811D3" w:rsidRDefault="00057659" w:rsidP="0089020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Wydział</w:t>
            </w:r>
            <w:r w:rsidR="00BC6E3C"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/Filia</w:t>
            </w:r>
            <w:r w:rsidR="00201170"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2F11F" w14:textId="77777777" w:rsidR="00201170" w:rsidRPr="005811D3" w:rsidRDefault="003264CF" w:rsidP="00CA399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11D3">
              <w:rPr>
                <w:rFonts w:asciiTheme="minorHAnsi" w:hAnsiTheme="minorHAnsi" w:cstheme="minorHAnsi"/>
                <w:b/>
                <w:sz w:val="22"/>
                <w:szCs w:val="22"/>
              </w:rPr>
              <w:t>Filia w Sandomierzu</w:t>
            </w:r>
          </w:p>
        </w:tc>
      </w:tr>
      <w:tr w:rsidR="00201170" w:rsidRPr="005811D3" w14:paraId="6E53929D" w14:textId="77777777" w:rsidTr="00890209">
        <w:trPr>
          <w:trHeight w:val="454"/>
          <w:jc w:val="center"/>
        </w:trPr>
        <w:tc>
          <w:tcPr>
            <w:tcW w:w="2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2160D4" w14:textId="77777777" w:rsidR="00201170" w:rsidRPr="005811D3" w:rsidRDefault="00057659" w:rsidP="0089020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Rok akademicki</w:t>
            </w:r>
            <w:r w:rsidR="00201170"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C66E0" w14:textId="7B8267E1" w:rsidR="00201170" w:rsidRPr="005811D3" w:rsidRDefault="00CA399D" w:rsidP="00CA399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11D3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4D559D" w:rsidRPr="005811D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D647F3" w:rsidRPr="005811D3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5811D3">
              <w:rPr>
                <w:rFonts w:asciiTheme="minorHAnsi" w:hAnsiTheme="minorHAnsi" w:cstheme="minorHAnsi"/>
                <w:b/>
                <w:sz w:val="22"/>
                <w:szCs w:val="22"/>
              </w:rPr>
              <w:t>/20</w:t>
            </w:r>
            <w:r w:rsidR="003264CF" w:rsidRPr="005811D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D647F3" w:rsidRPr="005811D3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</w:tbl>
    <w:p w14:paraId="172C78D0" w14:textId="77777777" w:rsidR="00B234E8" w:rsidRPr="005811D3" w:rsidRDefault="00B234E8" w:rsidP="00B234E8">
      <w:pPr>
        <w:rPr>
          <w:rFonts w:asciiTheme="minorHAnsi" w:hAnsiTheme="minorHAnsi" w:cstheme="minorHAnsi"/>
          <w:vanish/>
        </w:rPr>
      </w:pPr>
    </w:p>
    <w:tbl>
      <w:tblPr>
        <w:tblpPr w:leftFromText="141" w:rightFromText="141" w:vertAnchor="text" w:horzAnchor="margin" w:tblpXSpec="center" w:tblpY="255"/>
        <w:tblW w:w="9930" w:type="dxa"/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4111"/>
        <w:gridCol w:w="3443"/>
      </w:tblGrid>
      <w:tr w:rsidR="00201170" w:rsidRPr="005811D3" w14:paraId="0EE7A649" w14:textId="77777777" w:rsidTr="005F3CE6">
        <w:trPr>
          <w:trHeight w:val="418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8D12" w14:textId="77777777" w:rsidR="00201170" w:rsidRPr="005811D3" w:rsidRDefault="00042E17" w:rsidP="00042E17">
            <w:pPr>
              <w:snapToGrid w:val="0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Sk</w:t>
            </w:r>
            <w:r w:rsidR="002E5B9B" w:rsidRPr="005811D3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ład wydziałowej komisji ds.</w:t>
            </w:r>
            <w:r w:rsidRPr="005811D3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kształcenia</w:t>
            </w:r>
            <w:r w:rsidR="00346753" w:rsidRPr="005811D3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/KOMISJI ds. KSZTAŁCENIA W FILII</w:t>
            </w:r>
          </w:p>
        </w:tc>
      </w:tr>
      <w:tr w:rsidR="00042E17" w:rsidRPr="005811D3" w14:paraId="4A0875A2" w14:textId="77777777" w:rsidTr="000704A5">
        <w:trPr>
          <w:trHeight w:val="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E30194" w14:textId="77777777" w:rsidR="00042E17" w:rsidRPr="005811D3" w:rsidRDefault="00042E17" w:rsidP="00042E17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C07A6A" w14:textId="77777777" w:rsidR="00042E17" w:rsidRPr="005811D3" w:rsidRDefault="00042E17" w:rsidP="00042E1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Tytuł/stopień naukowy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4DA59" w14:textId="77777777" w:rsidR="00042E17" w:rsidRPr="005811D3" w:rsidRDefault="00042E17" w:rsidP="00042E1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Imię</w:t>
            </w:r>
            <w:r w:rsidR="00005C4D"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nazwisko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57C2" w14:textId="77777777" w:rsidR="00042E17" w:rsidRPr="005811D3" w:rsidRDefault="00005C4D" w:rsidP="00042E1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Status członka</w:t>
            </w:r>
          </w:p>
        </w:tc>
      </w:tr>
      <w:tr w:rsidR="003264CF" w:rsidRPr="005811D3" w14:paraId="76690912" w14:textId="77777777" w:rsidTr="000704A5">
        <w:trPr>
          <w:trHeight w:val="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959E9E" w14:textId="77777777" w:rsidR="003264CF" w:rsidRPr="005811D3" w:rsidRDefault="003264CF" w:rsidP="003264CF">
            <w:pPr>
              <w:numPr>
                <w:ilvl w:val="0"/>
                <w:numId w:val="10"/>
              </w:numPr>
              <w:snapToGrid w:val="0"/>
              <w:spacing w:line="360" w:lineRule="auto"/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F2FA47" w14:textId="77777777" w:rsidR="003264CF" w:rsidRPr="005811D3" w:rsidRDefault="003264CF" w:rsidP="003264CF">
            <w:pPr>
              <w:snapToGrid w:val="0"/>
              <w:ind w:left="720"/>
              <w:jc w:val="both"/>
              <w:rPr>
                <w:rFonts w:asciiTheme="minorHAnsi" w:hAnsiTheme="minorHAnsi" w:cstheme="minorHAnsi"/>
              </w:rPr>
            </w:pPr>
            <w:r w:rsidRPr="005811D3">
              <w:rPr>
                <w:rFonts w:asciiTheme="minorHAnsi" w:hAnsiTheme="minorHAnsi" w:cstheme="minorHAnsi"/>
              </w:rPr>
              <w:t>dr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783854" w14:textId="5DC2C7E6" w:rsidR="003264CF" w:rsidRPr="005811D3" w:rsidRDefault="001711F9" w:rsidP="003264CF">
            <w:pPr>
              <w:snapToGrid w:val="0"/>
              <w:ind w:left="317"/>
              <w:jc w:val="center"/>
              <w:rPr>
                <w:rFonts w:asciiTheme="minorHAnsi" w:hAnsiTheme="minorHAnsi" w:cstheme="minorHAnsi"/>
              </w:rPr>
            </w:pPr>
            <w:r w:rsidRPr="005811D3">
              <w:rPr>
                <w:rFonts w:asciiTheme="minorHAnsi" w:hAnsiTheme="minorHAnsi" w:cstheme="minorHAnsi"/>
              </w:rPr>
              <w:t xml:space="preserve"> Łukasz Furtak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D3BF" w14:textId="77777777" w:rsidR="003264CF" w:rsidRPr="005811D3" w:rsidRDefault="003264CF" w:rsidP="003264CF">
            <w:pPr>
              <w:snapToGrid w:val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przedstawiciel n-li akademickich</w:t>
            </w:r>
          </w:p>
        </w:tc>
      </w:tr>
      <w:tr w:rsidR="003264CF" w:rsidRPr="005811D3" w14:paraId="71A2F0CF" w14:textId="77777777" w:rsidTr="000704A5">
        <w:trPr>
          <w:trHeight w:val="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8DEAB4" w14:textId="77777777" w:rsidR="003264CF" w:rsidRPr="005811D3" w:rsidRDefault="003264CF" w:rsidP="003264CF">
            <w:pPr>
              <w:numPr>
                <w:ilvl w:val="0"/>
                <w:numId w:val="10"/>
              </w:numPr>
              <w:snapToGrid w:val="0"/>
              <w:spacing w:line="360" w:lineRule="auto"/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71DC45" w14:textId="77777777" w:rsidR="003264CF" w:rsidRPr="005811D3" w:rsidRDefault="003264CF" w:rsidP="003264CF">
            <w:pPr>
              <w:snapToGrid w:val="0"/>
              <w:ind w:left="720"/>
              <w:jc w:val="both"/>
              <w:rPr>
                <w:rFonts w:asciiTheme="minorHAnsi" w:hAnsiTheme="minorHAnsi" w:cstheme="minorHAnsi"/>
              </w:rPr>
            </w:pPr>
            <w:r w:rsidRPr="005811D3">
              <w:rPr>
                <w:rFonts w:asciiTheme="minorHAnsi" w:hAnsiTheme="minorHAnsi" w:cstheme="minorHAnsi"/>
              </w:rPr>
              <w:t>dr 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1C3DF4" w14:textId="77777777" w:rsidR="003264CF" w:rsidRPr="005811D3" w:rsidRDefault="003264CF" w:rsidP="003264CF">
            <w:pPr>
              <w:snapToGrid w:val="0"/>
              <w:ind w:left="317"/>
              <w:jc w:val="center"/>
              <w:rPr>
                <w:rFonts w:asciiTheme="minorHAnsi" w:hAnsiTheme="minorHAnsi" w:cstheme="minorHAnsi"/>
              </w:rPr>
            </w:pPr>
            <w:r w:rsidRPr="005811D3">
              <w:rPr>
                <w:rFonts w:asciiTheme="minorHAnsi" w:hAnsiTheme="minorHAnsi" w:cstheme="minorHAnsi"/>
              </w:rPr>
              <w:t>Anna Gilarek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168EC" w14:textId="77777777" w:rsidR="003264CF" w:rsidRPr="005811D3" w:rsidRDefault="003264CF" w:rsidP="003264CF">
            <w:pPr>
              <w:snapToGrid w:val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przedstawiciel n-li akademickich</w:t>
            </w:r>
          </w:p>
        </w:tc>
      </w:tr>
      <w:tr w:rsidR="003264CF" w:rsidRPr="005811D3" w14:paraId="1A7757BB" w14:textId="77777777" w:rsidTr="000704A5">
        <w:trPr>
          <w:trHeight w:val="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FD358E" w14:textId="77777777" w:rsidR="003264CF" w:rsidRPr="005811D3" w:rsidRDefault="003264CF" w:rsidP="003264CF">
            <w:pPr>
              <w:numPr>
                <w:ilvl w:val="0"/>
                <w:numId w:val="10"/>
              </w:numPr>
              <w:snapToGrid w:val="0"/>
              <w:spacing w:line="360" w:lineRule="auto"/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FC41E9" w14:textId="77777777" w:rsidR="003264CF" w:rsidRPr="005811D3" w:rsidRDefault="003264CF" w:rsidP="003264CF">
            <w:pPr>
              <w:snapToGrid w:val="0"/>
              <w:ind w:left="720"/>
              <w:jc w:val="both"/>
              <w:rPr>
                <w:rFonts w:asciiTheme="minorHAnsi" w:hAnsiTheme="minorHAnsi" w:cstheme="minorHAnsi"/>
              </w:rPr>
            </w:pPr>
            <w:r w:rsidRPr="005811D3">
              <w:rPr>
                <w:rFonts w:asciiTheme="minorHAnsi" w:hAnsiTheme="minorHAnsi" w:cstheme="minorHAnsi"/>
              </w:rPr>
              <w:t>dr inż.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793965" w14:textId="77777777" w:rsidR="003264CF" w:rsidRPr="005811D3" w:rsidRDefault="003264CF" w:rsidP="003264CF">
            <w:pPr>
              <w:snapToGrid w:val="0"/>
              <w:ind w:left="317"/>
              <w:jc w:val="center"/>
              <w:rPr>
                <w:rFonts w:asciiTheme="minorHAnsi" w:hAnsiTheme="minorHAnsi" w:cstheme="minorHAnsi"/>
              </w:rPr>
            </w:pPr>
            <w:r w:rsidRPr="005811D3">
              <w:rPr>
                <w:rFonts w:asciiTheme="minorHAnsi" w:hAnsiTheme="minorHAnsi" w:cstheme="minorHAnsi"/>
              </w:rPr>
              <w:t>Wojciech Iwanicki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C8E8" w14:textId="77777777" w:rsidR="003264CF" w:rsidRPr="005811D3" w:rsidRDefault="003264CF" w:rsidP="003264CF">
            <w:pPr>
              <w:snapToGrid w:val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przedstawiciel n-li akademickich</w:t>
            </w:r>
          </w:p>
        </w:tc>
      </w:tr>
      <w:tr w:rsidR="001711F9" w:rsidRPr="005811D3" w14:paraId="7643577D" w14:textId="77777777" w:rsidTr="000704A5">
        <w:trPr>
          <w:trHeight w:val="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6114B0" w14:textId="77777777" w:rsidR="001711F9" w:rsidRPr="005811D3" w:rsidRDefault="001711F9" w:rsidP="001711F9">
            <w:pPr>
              <w:numPr>
                <w:ilvl w:val="0"/>
                <w:numId w:val="10"/>
              </w:numPr>
              <w:snapToGrid w:val="0"/>
              <w:spacing w:line="360" w:lineRule="auto"/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636BA4" w14:textId="2911433C" w:rsidR="001711F9" w:rsidRPr="005811D3" w:rsidRDefault="001711F9" w:rsidP="001711F9">
            <w:pPr>
              <w:snapToGrid w:val="0"/>
              <w:ind w:left="720"/>
              <w:jc w:val="both"/>
              <w:rPr>
                <w:rFonts w:asciiTheme="minorHAnsi" w:hAnsiTheme="minorHAnsi" w:cstheme="minorHAnsi"/>
              </w:rPr>
            </w:pPr>
            <w:r w:rsidRPr="005811D3">
              <w:rPr>
                <w:rFonts w:asciiTheme="minorHAnsi" w:hAnsiTheme="minorHAnsi" w:cstheme="minorHAnsi"/>
              </w:rPr>
              <w:t>dr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256C42" w14:textId="25932A4D" w:rsidR="001711F9" w:rsidRPr="005811D3" w:rsidRDefault="001711F9" w:rsidP="001711F9">
            <w:pPr>
              <w:snapToGrid w:val="0"/>
              <w:ind w:left="317"/>
              <w:jc w:val="center"/>
              <w:rPr>
                <w:rFonts w:asciiTheme="minorHAnsi" w:hAnsiTheme="minorHAnsi" w:cstheme="minorHAnsi"/>
              </w:rPr>
            </w:pPr>
            <w:r w:rsidRPr="005811D3">
              <w:rPr>
                <w:rFonts w:asciiTheme="minorHAnsi" w:hAnsiTheme="minorHAnsi" w:cstheme="minorHAnsi"/>
              </w:rPr>
              <w:t xml:space="preserve">Paweł </w:t>
            </w:r>
            <w:proofErr w:type="spellStart"/>
            <w:r w:rsidRPr="005811D3">
              <w:rPr>
                <w:rFonts w:asciiTheme="minorHAnsi" w:hAnsiTheme="minorHAnsi" w:cstheme="minorHAnsi"/>
              </w:rPr>
              <w:t>Helon</w:t>
            </w:r>
            <w:proofErr w:type="spellEnd"/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71F94" w14:textId="467C7B50" w:rsidR="001711F9" w:rsidRPr="005811D3" w:rsidRDefault="001711F9" w:rsidP="001711F9">
            <w:pPr>
              <w:snapToGrid w:val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przedstawiciel n-li akademickich</w:t>
            </w:r>
          </w:p>
        </w:tc>
      </w:tr>
      <w:tr w:rsidR="001711F9" w:rsidRPr="005811D3" w14:paraId="73380EB7" w14:textId="77777777" w:rsidTr="000704A5">
        <w:trPr>
          <w:trHeight w:val="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D668A" w14:textId="77777777" w:rsidR="001711F9" w:rsidRPr="005811D3" w:rsidRDefault="001711F9" w:rsidP="001711F9">
            <w:pPr>
              <w:numPr>
                <w:ilvl w:val="0"/>
                <w:numId w:val="10"/>
              </w:numPr>
              <w:snapToGrid w:val="0"/>
              <w:spacing w:line="360" w:lineRule="auto"/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03B285" w14:textId="77777777" w:rsidR="001711F9" w:rsidRPr="005811D3" w:rsidRDefault="001711F9" w:rsidP="001711F9">
            <w:pPr>
              <w:snapToGrid w:val="0"/>
              <w:ind w:left="720"/>
              <w:jc w:val="both"/>
              <w:rPr>
                <w:rFonts w:asciiTheme="minorHAnsi" w:hAnsiTheme="minorHAnsi" w:cstheme="minorHAnsi"/>
              </w:rPr>
            </w:pPr>
            <w:r w:rsidRPr="005811D3">
              <w:rPr>
                <w:rFonts w:asciiTheme="minorHAnsi" w:hAnsiTheme="minorHAnsi" w:cstheme="minorHAnsi"/>
              </w:rPr>
              <w:t>dr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E471DB" w14:textId="77777777" w:rsidR="001711F9" w:rsidRPr="005811D3" w:rsidRDefault="001711F9" w:rsidP="001711F9">
            <w:pPr>
              <w:snapToGrid w:val="0"/>
              <w:ind w:left="317"/>
              <w:jc w:val="center"/>
              <w:rPr>
                <w:rFonts w:asciiTheme="minorHAnsi" w:hAnsiTheme="minorHAnsi" w:cstheme="minorHAnsi"/>
              </w:rPr>
            </w:pPr>
            <w:r w:rsidRPr="005811D3">
              <w:rPr>
                <w:rFonts w:asciiTheme="minorHAnsi" w:hAnsiTheme="minorHAnsi" w:cstheme="minorHAnsi"/>
              </w:rPr>
              <w:t>Renata Kędziora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BAB9" w14:textId="77777777" w:rsidR="001711F9" w:rsidRPr="005811D3" w:rsidRDefault="001711F9" w:rsidP="001711F9">
            <w:pPr>
              <w:snapToGrid w:val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przedstawiciel n-li akademickich</w:t>
            </w:r>
          </w:p>
        </w:tc>
      </w:tr>
      <w:tr w:rsidR="001711F9" w:rsidRPr="005811D3" w14:paraId="3F74298A" w14:textId="77777777" w:rsidTr="000704A5">
        <w:trPr>
          <w:trHeight w:val="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BAA04E" w14:textId="77777777" w:rsidR="001711F9" w:rsidRPr="005811D3" w:rsidRDefault="001711F9" w:rsidP="001711F9">
            <w:pPr>
              <w:numPr>
                <w:ilvl w:val="0"/>
                <w:numId w:val="10"/>
              </w:numPr>
              <w:snapToGrid w:val="0"/>
              <w:spacing w:line="360" w:lineRule="auto"/>
              <w:ind w:left="426" w:right="-391" w:hanging="4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A4B138" w14:textId="19EA52E1" w:rsidR="001711F9" w:rsidRPr="005811D3" w:rsidRDefault="001711F9" w:rsidP="001711F9">
            <w:pPr>
              <w:snapToGrid w:val="0"/>
              <w:ind w:left="720"/>
              <w:jc w:val="both"/>
              <w:rPr>
                <w:rFonts w:asciiTheme="minorHAnsi" w:hAnsiTheme="minorHAnsi" w:cstheme="minorHAnsi"/>
              </w:rPr>
            </w:pPr>
            <w:r w:rsidRPr="005811D3">
              <w:rPr>
                <w:rFonts w:asciiTheme="minorHAnsi" w:hAnsiTheme="minorHAnsi" w:cstheme="minorHAnsi"/>
              </w:rPr>
              <w:t>mgr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F85DE" w14:textId="1994AA8F" w:rsidR="001711F9" w:rsidRPr="005811D3" w:rsidRDefault="001711F9" w:rsidP="001711F9">
            <w:pPr>
              <w:snapToGrid w:val="0"/>
              <w:ind w:left="317"/>
              <w:jc w:val="center"/>
              <w:rPr>
                <w:rFonts w:asciiTheme="minorHAnsi" w:hAnsiTheme="minorHAnsi" w:cstheme="minorHAnsi"/>
              </w:rPr>
            </w:pPr>
            <w:r w:rsidRPr="005811D3">
              <w:rPr>
                <w:rFonts w:asciiTheme="minorHAnsi" w:hAnsiTheme="minorHAnsi" w:cstheme="minorHAnsi"/>
              </w:rPr>
              <w:t>Witold Lech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44ED" w14:textId="77777777" w:rsidR="001711F9" w:rsidRPr="005811D3" w:rsidRDefault="001711F9" w:rsidP="001711F9">
            <w:pPr>
              <w:snapToGrid w:val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przedstawiciel interesariuszy zewnętrznych</w:t>
            </w:r>
          </w:p>
        </w:tc>
      </w:tr>
      <w:tr w:rsidR="001711F9" w:rsidRPr="005811D3" w14:paraId="0FF123B9" w14:textId="77777777" w:rsidTr="000704A5">
        <w:trPr>
          <w:trHeight w:val="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6A6D1F" w14:textId="77777777" w:rsidR="001711F9" w:rsidRPr="005811D3" w:rsidRDefault="001711F9" w:rsidP="001711F9">
            <w:pPr>
              <w:numPr>
                <w:ilvl w:val="0"/>
                <w:numId w:val="10"/>
              </w:numPr>
              <w:snapToGrid w:val="0"/>
              <w:spacing w:line="360" w:lineRule="auto"/>
              <w:ind w:left="426" w:hanging="4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E91DDF" w14:textId="77777777" w:rsidR="001711F9" w:rsidRPr="005811D3" w:rsidRDefault="001711F9" w:rsidP="001711F9">
            <w:pPr>
              <w:snapToGrid w:val="0"/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2BC528" w14:textId="77777777" w:rsidR="001711F9" w:rsidRPr="005811D3" w:rsidRDefault="001711F9" w:rsidP="001711F9">
            <w:pPr>
              <w:snapToGrid w:val="0"/>
              <w:ind w:left="317"/>
              <w:jc w:val="center"/>
              <w:rPr>
                <w:rFonts w:asciiTheme="minorHAnsi" w:hAnsiTheme="minorHAnsi" w:cstheme="minorHAnsi"/>
              </w:rPr>
            </w:pPr>
            <w:r w:rsidRPr="005811D3">
              <w:rPr>
                <w:rFonts w:asciiTheme="minorHAnsi" w:hAnsiTheme="minorHAnsi" w:cstheme="minorHAnsi"/>
              </w:rPr>
              <w:t xml:space="preserve">Marek </w:t>
            </w:r>
            <w:proofErr w:type="spellStart"/>
            <w:r w:rsidRPr="005811D3">
              <w:rPr>
                <w:rFonts w:asciiTheme="minorHAnsi" w:hAnsiTheme="minorHAnsi" w:cstheme="minorHAnsi"/>
              </w:rPr>
              <w:t>Leśkiewicz</w:t>
            </w:r>
            <w:proofErr w:type="spellEnd"/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784DE" w14:textId="77777777" w:rsidR="001711F9" w:rsidRPr="005811D3" w:rsidRDefault="001711F9" w:rsidP="001711F9">
            <w:pPr>
              <w:snapToGrid w:val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przedstawiciel interesariuszy zewnętrznych</w:t>
            </w:r>
          </w:p>
        </w:tc>
      </w:tr>
      <w:tr w:rsidR="001711F9" w:rsidRPr="005811D3" w14:paraId="0994D2BB" w14:textId="77777777" w:rsidTr="000704A5">
        <w:trPr>
          <w:trHeight w:val="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F4396A" w14:textId="77777777" w:rsidR="001711F9" w:rsidRPr="005811D3" w:rsidRDefault="001711F9" w:rsidP="001711F9">
            <w:pPr>
              <w:numPr>
                <w:ilvl w:val="0"/>
                <w:numId w:val="10"/>
              </w:numPr>
              <w:snapToGrid w:val="0"/>
              <w:spacing w:line="360" w:lineRule="auto"/>
              <w:ind w:left="426" w:hanging="4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B5CBE" w14:textId="77777777" w:rsidR="001711F9" w:rsidRPr="005811D3" w:rsidRDefault="001711F9" w:rsidP="001711F9">
            <w:pPr>
              <w:snapToGrid w:val="0"/>
              <w:ind w:left="720"/>
              <w:jc w:val="both"/>
              <w:rPr>
                <w:rFonts w:asciiTheme="minorHAnsi" w:hAnsiTheme="minorHAnsi" w:cstheme="minorHAnsi"/>
              </w:rPr>
            </w:pPr>
            <w:r w:rsidRPr="005811D3">
              <w:rPr>
                <w:rFonts w:asciiTheme="minorHAnsi" w:hAnsiTheme="minorHAnsi" w:cstheme="minorHAnsi"/>
              </w:rPr>
              <w:t>mgr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31B891" w14:textId="77777777" w:rsidR="001711F9" w:rsidRPr="005811D3" w:rsidRDefault="001711F9" w:rsidP="001711F9">
            <w:pPr>
              <w:snapToGrid w:val="0"/>
              <w:ind w:left="317"/>
              <w:jc w:val="center"/>
              <w:rPr>
                <w:rFonts w:asciiTheme="minorHAnsi" w:hAnsiTheme="minorHAnsi" w:cstheme="minorHAnsi"/>
              </w:rPr>
            </w:pPr>
            <w:r w:rsidRPr="005811D3">
              <w:rPr>
                <w:rFonts w:asciiTheme="minorHAnsi" w:hAnsiTheme="minorHAnsi" w:cstheme="minorHAnsi"/>
              </w:rPr>
              <w:t>Ireneusz Krawczyński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80D2" w14:textId="77777777" w:rsidR="001711F9" w:rsidRPr="005811D3" w:rsidRDefault="001711F9" w:rsidP="001711F9">
            <w:pPr>
              <w:snapToGrid w:val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przedstawiciel interesariuszy zewnętrznych</w:t>
            </w:r>
          </w:p>
        </w:tc>
      </w:tr>
      <w:tr w:rsidR="001711F9" w:rsidRPr="005811D3" w14:paraId="7D12D0CE" w14:textId="77777777" w:rsidTr="000704A5">
        <w:trPr>
          <w:trHeight w:val="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650CA1" w14:textId="77777777" w:rsidR="001711F9" w:rsidRPr="005811D3" w:rsidRDefault="001711F9" w:rsidP="001711F9">
            <w:pPr>
              <w:numPr>
                <w:ilvl w:val="0"/>
                <w:numId w:val="10"/>
              </w:numPr>
              <w:snapToGrid w:val="0"/>
              <w:spacing w:line="360" w:lineRule="auto"/>
              <w:ind w:left="426" w:hanging="4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A234E9" w14:textId="77777777" w:rsidR="001711F9" w:rsidRPr="005811D3" w:rsidRDefault="001711F9" w:rsidP="001711F9">
            <w:pPr>
              <w:snapToGrid w:val="0"/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D49FDE" w14:textId="77777777" w:rsidR="001711F9" w:rsidRPr="005811D3" w:rsidRDefault="001711F9" w:rsidP="001711F9">
            <w:pPr>
              <w:spacing w:line="360" w:lineRule="auto"/>
              <w:ind w:left="317"/>
              <w:jc w:val="center"/>
              <w:rPr>
                <w:rFonts w:asciiTheme="minorHAnsi" w:eastAsia="Calibri" w:hAnsiTheme="minorHAnsi" w:cstheme="minorHAnsi"/>
              </w:rPr>
            </w:pPr>
            <w:r w:rsidRPr="005811D3">
              <w:rPr>
                <w:rFonts w:asciiTheme="minorHAnsi" w:hAnsiTheme="minorHAnsi" w:cstheme="minorHAnsi"/>
              </w:rPr>
              <w:t>Małgorzata Majewska</w:t>
            </w:r>
            <w:r w:rsidRPr="005811D3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DD97" w14:textId="77777777" w:rsidR="001711F9" w:rsidRPr="005811D3" w:rsidRDefault="001711F9" w:rsidP="001711F9">
            <w:pPr>
              <w:snapToGrid w:val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przedstawiciel interesariuszy zewnętrznych</w:t>
            </w:r>
          </w:p>
        </w:tc>
      </w:tr>
      <w:tr w:rsidR="001711F9" w:rsidRPr="005811D3" w14:paraId="32E3945D" w14:textId="77777777" w:rsidTr="000704A5">
        <w:trPr>
          <w:trHeight w:val="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E15EDA" w14:textId="77777777" w:rsidR="001711F9" w:rsidRPr="005811D3" w:rsidRDefault="001711F9" w:rsidP="001711F9">
            <w:pPr>
              <w:numPr>
                <w:ilvl w:val="0"/>
                <w:numId w:val="10"/>
              </w:numPr>
              <w:snapToGrid w:val="0"/>
              <w:spacing w:line="360" w:lineRule="auto"/>
              <w:ind w:left="426" w:hanging="4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00C050" w14:textId="77777777" w:rsidR="001711F9" w:rsidRPr="005811D3" w:rsidRDefault="001711F9" w:rsidP="001711F9">
            <w:pPr>
              <w:snapToGrid w:val="0"/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DEA537" w14:textId="62831564" w:rsidR="001711F9" w:rsidRPr="005811D3" w:rsidRDefault="00D647F3" w:rsidP="001711F9">
            <w:pPr>
              <w:spacing w:line="360" w:lineRule="auto"/>
              <w:ind w:left="317"/>
              <w:jc w:val="center"/>
              <w:rPr>
                <w:rFonts w:asciiTheme="minorHAnsi" w:hAnsiTheme="minorHAnsi" w:cstheme="minorHAnsi"/>
              </w:rPr>
            </w:pPr>
            <w:r w:rsidRPr="005811D3">
              <w:rPr>
                <w:rFonts w:asciiTheme="minorHAnsi" w:hAnsiTheme="minorHAnsi" w:cstheme="minorHAnsi"/>
              </w:rPr>
              <w:t>Piotr Domin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F4E3" w14:textId="77777777" w:rsidR="001711F9" w:rsidRPr="005811D3" w:rsidRDefault="001711F9" w:rsidP="001711F9">
            <w:pPr>
              <w:snapToGrid w:val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przedstawiciel studentów</w:t>
            </w:r>
          </w:p>
        </w:tc>
      </w:tr>
      <w:tr w:rsidR="001711F9" w:rsidRPr="005811D3" w14:paraId="14F5DBAC" w14:textId="77777777" w:rsidTr="000704A5">
        <w:trPr>
          <w:trHeight w:val="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BF7CD7" w14:textId="77777777" w:rsidR="001711F9" w:rsidRPr="005811D3" w:rsidRDefault="001711F9" w:rsidP="001711F9">
            <w:pPr>
              <w:numPr>
                <w:ilvl w:val="0"/>
                <w:numId w:val="10"/>
              </w:numPr>
              <w:snapToGrid w:val="0"/>
              <w:spacing w:line="360" w:lineRule="auto"/>
              <w:ind w:left="426" w:hanging="4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2521C4" w14:textId="77777777" w:rsidR="001711F9" w:rsidRPr="005811D3" w:rsidRDefault="001711F9" w:rsidP="001711F9">
            <w:pPr>
              <w:snapToGrid w:val="0"/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8D37FE" w14:textId="6CB4D804" w:rsidR="001711F9" w:rsidRPr="005811D3" w:rsidRDefault="001711F9" w:rsidP="001711F9">
            <w:pPr>
              <w:snapToGrid w:val="0"/>
              <w:ind w:left="317"/>
              <w:jc w:val="center"/>
              <w:rPr>
                <w:rFonts w:asciiTheme="minorHAnsi" w:hAnsiTheme="minorHAnsi" w:cstheme="minorHAnsi"/>
              </w:rPr>
            </w:pPr>
            <w:r w:rsidRPr="005811D3">
              <w:rPr>
                <w:rFonts w:asciiTheme="minorHAnsi" w:hAnsiTheme="minorHAnsi" w:cstheme="minorHAnsi"/>
              </w:rPr>
              <w:t>Maciej Mucha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D24E" w14:textId="77777777" w:rsidR="001711F9" w:rsidRPr="005811D3" w:rsidRDefault="001711F9" w:rsidP="001711F9">
            <w:pPr>
              <w:snapToGrid w:val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przedstawiciel studentów</w:t>
            </w:r>
          </w:p>
        </w:tc>
      </w:tr>
    </w:tbl>
    <w:p w14:paraId="36F90716" w14:textId="77777777" w:rsidR="002C2436" w:rsidRPr="005811D3" w:rsidRDefault="002C2436" w:rsidP="002C2436">
      <w:pPr>
        <w:rPr>
          <w:rFonts w:asciiTheme="minorHAnsi" w:hAnsiTheme="minorHAnsi" w:cstheme="minorHAnsi"/>
          <w:vanish/>
          <w:sz w:val="20"/>
          <w:szCs w:val="20"/>
        </w:rPr>
      </w:pPr>
    </w:p>
    <w:p w14:paraId="0A91BA47" w14:textId="77777777" w:rsidR="00B234E8" w:rsidRPr="005811D3" w:rsidRDefault="00B234E8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680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9680"/>
      </w:tblGrid>
      <w:tr w:rsidR="00CA399D" w:rsidRPr="005811D3" w14:paraId="1058C357" w14:textId="77777777" w:rsidTr="009344E1"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DCC2" w14:textId="77777777" w:rsidR="00CA399D" w:rsidRPr="005811D3" w:rsidRDefault="00CA399D" w:rsidP="00CA399D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  <w:r w:rsidRPr="005811D3">
              <w:rPr>
                <w:rFonts w:asciiTheme="minorHAnsi" w:hAnsiTheme="minorHAnsi" w:cstheme="minorHAnsi"/>
                <w:b/>
              </w:rPr>
              <w:t>Opis działań</w:t>
            </w:r>
            <w:r w:rsidR="002E5B9B" w:rsidRPr="005811D3">
              <w:rPr>
                <w:rFonts w:asciiTheme="minorHAnsi" w:hAnsiTheme="minorHAnsi" w:cstheme="minorHAnsi"/>
                <w:b/>
              </w:rPr>
              <w:t xml:space="preserve"> Wydziałowej Komisji ds.</w:t>
            </w:r>
            <w:r w:rsidRPr="005811D3">
              <w:rPr>
                <w:rFonts w:asciiTheme="minorHAnsi" w:hAnsiTheme="minorHAnsi" w:cstheme="minorHAnsi"/>
                <w:b/>
              </w:rPr>
              <w:t xml:space="preserve"> Kształcenia</w:t>
            </w:r>
            <w:r w:rsidR="00346753" w:rsidRPr="005811D3">
              <w:rPr>
                <w:rFonts w:asciiTheme="minorHAnsi" w:hAnsiTheme="minorHAnsi" w:cstheme="minorHAnsi"/>
                <w:b/>
              </w:rPr>
              <w:t>/Komisji ds. Kształcenia w Filii</w:t>
            </w:r>
            <w:r w:rsidRPr="005811D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CA399D" w:rsidRPr="005811D3" w14:paraId="420439E0" w14:textId="77777777" w:rsidTr="009344E1">
        <w:tc>
          <w:tcPr>
            <w:tcW w:w="9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914F" w14:textId="7122BE88" w:rsidR="007217DC" w:rsidRPr="005811D3" w:rsidRDefault="003264CF" w:rsidP="009A19C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roku sprawozdawczym odbyło się </w:t>
            </w:r>
            <w:r w:rsidR="00B20174"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CC3ED9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spotkań </w:t>
            </w:r>
            <w:r w:rsidR="00CC3ED9"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Komisji ds. Kształcenia w Filii</w:t>
            </w:r>
            <w:r w:rsidR="00CC3ED9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(1</w:t>
            </w:r>
            <w:r w:rsidR="00D647F3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="00CC3ED9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.1</w:t>
            </w:r>
            <w:r w:rsidR="00355D22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="00CC3ED9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.20</w:t>
            </w:r>
            <w:r w:rsidR="00100B29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D647F3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CC3ED9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355D22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21696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  <w:r w:rsidR="00CC3ED9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355D22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  <w:r w:rsidR="00CC3ED9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.202</w:t>
            </w:r>
            <w:r w:rsidR="00221696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CC3ED9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B20174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221696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CC3ED9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.0</w:t>
            </w:r>
            <w:r w:rsidR="00221696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CC3ED9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.202</w:t>
            </w:r>
            <w:r w:rsidR="00221696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CC3ED9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221696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  <w:r w:rsidR="00CC3ED9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.0</w:t>
            </w:r>
            <w:r w:rsidR="00100B29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CC3ED9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.202</w:t>
            </w:r>
            <w:r w:rsidR="00221696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CC3ED9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221696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23</w:t>
            </w:r>
            <w:r w:rsidR="00355D22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.04.202</w:t>
            </w:r>
            <w:r w:rsidR="00221696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355D22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B20174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221696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355D22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.0</w:t>
            </w:r>
            <w:r w:rsidR="00B20174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="00355D22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.202</w:t>
            </w:r>
            <w:r w:rsidR="00221696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355D22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B20174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221696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100B29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.0</w:t>
            </w:r>
            <w:r w:rsidR="00B20174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r w:rsidR="00100B29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.202</w:t>
            </w:r>
            <w:r w:rsidR="00221696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CC3ED9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="00A313F5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4299F082" w14:textId="77777777" w:rsidR="00CF6994" w:rsidRPr="005811D3" w:rsidRDefault="00CF6994" w:rsidP="009A19C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6AC8631" w14:textId="77777777" w:rsidR="00CD7D4E" w:rsidRPr="005811D3" w:rsidRDefault="00637B5B" w:rsidP="009A19C7">
            <w:pPr>
              <w:pStyle w:val="Akapitzli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811D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 xml:space="preserve">Przegląd najważniejszych działań </w:t>
            </w:r>
            <w:proofErr w:type="spellStart"/>
            <w:r w:rsidRPr="005811D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KKF</w:t>
            </w:r>
            <w:proofErr w:type="spellEnd"/>
            <w:r w:rsidRPr="005811D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w okresie sprawozdawczym:</w:t>
            </w:r>
          </w:p>
          <w:p w14:paraId="1FA61164" w14:textId="70DDDBBE" w:rsidR="00886DF7" w:rsidRPr="005811D3" w:rsidRDefault="006A3E5C" w:rsidP="00886DF7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Przeprowadzono</w:t>
            </w:r>
            <w:r w:rsidR="00CF6994"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hospitacje</w:t>
            </w:r>
            <w:r w:rsidR="00CF6994"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pracowników</w:t>
            </w:r>
            <w:r w:rsidR="00CF6994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wszystkich kierunków</w:t>
            </w:r>
            <w:r w:rsidR="00AB364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2C7292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B364B">
              <w:rPr>
                <w:rFonts w:asciiTheme="minorHAnsi" w:hAnsiTheme="minorHAnsi" w:cstheme="minorHAnsi"/>
                <w:bCs/>
                <w:sz w:val="20"/>
                <w:szCs w:val="20"/>
              </w:rPr>
              <w:t>N</w:t>
            </w:r>
            <w:r w:rsidR="00F50542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kierunku </w:t>
            </w:r>
            <w:r w:rsidR="002C7292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adm</w:t>
            </w:r>
            <w:r w:rsidR="00F50542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inistracj</w:t>
            </w:r>
            <w:r w:rsidR="00AB364B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F50542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hospitowano</w:t>
            </w:r>
            <w:r w:rsidR="002C7292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9D60D6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 </w:t>
            </w:r>
            <w:r w:rsidR="00F50542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pracowników</w:t>
            </w:r>
            <w:r w:rsidR="00C81980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F50542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kierunku </w:t>
            </w:r>
            <w:r w:rsidR="00C81980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filo</w:t>
            </w:r>
            <w:r w:rsidR="00F50542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logia angielska</w:t>
            </w:r>
            <w:r w:rsidR="00C81980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</w:t>
            </w:r>
            <w:r w:rsidR="009D60D6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F50542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pracowników, na kierunku kosmetologia</w:t>
            </w:r>
            <w:r w:rsidR="00D1542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5</w:t>
            </w:r>
            <w:r w:rsidR="00F50542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pracowników, mechatronika</w:t>
            </w:r>
            <w:r w:rsidR="00AB364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B364B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na kierunku</w:t>
            </w:r>
            <w:r w:rsidR="00F50542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B755E"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="00F50542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pracowników</w:t>
            </w:r>
            <w:r w:rsidR="000F7495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F50542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886DF7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co stanowi</w:t>
            </w:r>
            <w:r w:rsidR="000F7495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ogółem</w:t>
            </w:r>
            <w:r w:rsidR="00886DF7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886DF7" w:rsidRPr="00DB755E">
              <w:rPr>
                <w:rFonts w:asciiTheme="minorHAnsi" w:hAnsiTheme="minorHAnsi" w:cstheme="minorHAnsi"/>
                <w:bCs/>
                <w:sz w:val="20"/>
                <w:szCs w:val="20"/>
              </w:rPr>
              <w:t>ok</w:t>
            </w:r>
            <w:r w:rsidR="00DB755E" w:rsidRPr="00DB75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90</w:t>
            </w:r>
            <w:r w:rsidR="00886DF7" w:rsidRPr="00DB755E">
              <w:rPr>
                <w:rFonts w:asciiTheme="minorHAnsi" w:hAnsiTheme="minorHAnsi" w:cstheme="minorHAnsi"/>
                <w:bCs/>
                <w:sz w:val="20"/>
                <w:szCs w:val="20"/>
              </w:rPr>
              <w:t>%</w:t>
            </w:r>
            <w:r w:rsidR="00886DF7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procent pracowników. Hospitowano zarówno pracowników etatowych, jak i pracujących na podstawie umowy cywilno-prawnej. Wszystkie hospitowane zajęcia zostały ocenione pozytywnie. </w:t>
            </w:r>
          </w:p>
          <w:p w14:paraId="625856B7" w14:textId="737F62AC" w:rsidR="002C7292" w:rsidRPr="0033336A" w:rsidRDefault="00265D2C" w:rsidP="009A19C7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Kierunkowe Zespoły ds. Jakości Kształcenia przy wszystkich kierunkach przeprowadziły </w:t>
            </w: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przegląd kart przedmiotów</w:t>
            </w:r>
            <w:r w:rsidR="0033336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33336A" w:rsidRPr="0033336A">
              <w:rPr>
                <w:rFonts w:asciiTheme="minorHAnsi" w:hAnsiTheme="minorHAnsi" w:cstheme="minorHAnsi"/>
                <w:bCs/>
                <w:sz w:val="20"/>
                <w:szCs w:val="20"/>
              </w:rPr>
              <w:t>analizując je w szczególności pod katem wykazu zaleceń opracowanych przez Komisje s. Kształcenia w Filii.</w:t>
            </w:r>
          </w:p>
          <w:p w14:paraId="46750DC9" w14:textId="6E2B0596" w:rsidR="002367E1" w:rsidRPr="005811D3" w:rsidRDefault="0048599A" w:rsidP="002367E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Zaktualizowano </w:t>
            </w:r>
            <w:r w:rsidR="0083214F"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trzy</w:t>
            </w: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procedury</w:t>
            </w:r>
            <w:r w:rsidR="002367E1"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filialne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="002367E1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procedurę procesu dyplomowania, procedurę obsługi toku studiów oraz procedurę archiwizacji prac etapowych.</w:t>
            </w:r>
          </w:p>
          <w:p w14:paraId="1CFFF70F" w14:textId="37242E5B" w:rsidR="002D41F9" w:rsidRPr="005811D3" w:rsidRDefault="002D41F9" w:rsidP="002D41F9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Przeprowadzono </w:t>
            </w: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ocenę organizacji zajęć dydaktycznych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</w:t>
            </w:r>
            <w:r w:rsidR="001715BF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każdym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semestrze. Stwierdzono, że plany tygodniowe są dostosowane do potrzeb i oczekiwań studentów (brak długich okienek, nieliczne krótkie okienka, przylegające do weekendów dni pracy własnej).</w:t>
            </w:r>
          </w:p>
          <w:p w14:paraId="6B0565CD" w14:textId="59358E06" w:rsidR="00130A5E" w:rsidRPr="005811D3" w:rsidRDefault="00544972" w:rsidP="0083214F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Omówiono wyniki ankiet samooceny osiągnięcia kierunkowych efektów uczenia się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przeprowadzone wśród absolwentów </w:t>
            </w:r>
            <w:r w:rsidR="0013018B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wszystkich kierunków, kończących studia w 202</w:t>
            </w:r>
            <w:r w:rsidR="00D647F3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13018B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roku</w:t>
            </w:r>
            <w:r w:rsidR="0083214F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Absolwenci wszystkich kierunków ocenili osiągnięcie przez siebie kierunkowych efektów uczenia się w stopniu bardzo dobrym (w przeważającym stopniu)  lub dobrym. Odnotowano pojedyncze oceny w stopniu średnim i żadnych w stopniu słabym. </w:t>
            </w:r>
            <w:bookmarkStart w:id="0" w:name="_Hlk178512935"/>
            <w:r w:rsidR="0083214F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W przypadku ocenionych średnio efektów uczenia się zalecono analizę kart przedmiotów tych zajęć oraz zwrócenie szczególnej uwagi na te efekty przy okazji hospitacji zajęć</w:t>
            </w:r>
            <w:r w:rsidR="0033336A">
              <w:rPr>
                <w:rFonts w:asciiTheme="minorHAnsi" w:hAnsiTheme="minorHAnsi" w:cstheme="minorHAnsi"/>
                <w:bCs/>
                <w:sz w:val="20"/>
                <w:szCs w:val="20"/>
              </w:rPr>
              <w:t>,  a także monitorowanie ich w kolejnych badaniach</w:t>
            </w:r>
            <w:r w:rsidR="0083214F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bookmarkEnd w:id="0"/>
            <w:r w:rsidR="0083214F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Wysokie wyniki samooceny wskazują na adekwatny dobór oraz poprawną realizację efektów uczenia się pod względem metod pracy i treści programowych. </w:t>
            </w:r>
            <w:r w:rsidR="00130A5E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związku z tak wysokimi ocenami, </w:t>
            </w:r>
            <w:proofErr w:type="spellStart"/>
            <w:r w:rsidR="00130A5E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KZJK</w:t>
            </w:r>
            <w:proofErr w:type="spellEnd"/>
            <w:r w:rsidR="00130A5E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przy kierunkach nie rekomendują zmian w programach studiów.</w:t>
            </w:r>
          </w:p>
          <w:p w14:paraId="27468159" w14:textId="60F37EDE" w:rsidR="0083214F" w:rsidRPr="005811D3" w:rsidRDefault="00787A43" w:rsidP="0083214F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Omówiono przekazany przez Zespół ds. Ewaluacji Jakości Kształcenia w Filii raport dotyczący oceny zajęć dydaktycznych </w:t>
            </w:r>
            <w:r w:rsidRPr="005811D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 semestrze letnim roku akademickiego 202</w:t>
            </w:r>
            <w:r w:rsidR="0083214F" w:rsidRPr="005811D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</w:t>
            </w:r>
            <w:r w:rsidRPr="005811D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/202</w:t>
            </w:r>
            <w:r w:rsidR="0083214F" w:rsidRPr="005811D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3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83214F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Ocena ogólna dla Filii wyniosła 4,49 (Filologia angielska - 4,42; Kosmetologia - 3,64; Mechatronika - 5</w:t>
            </w:r>
            <w:r w:rsidR="00B66670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83214F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,00; Administracja - 4,90). Wynik ten jest niższy niż wcześniejszych badaniach, ale wciąż można go uznać za wysoki. Ocena została zaniżona przez wynik ogólny dla kierunku kosmetologia, co wynikło z faktu, że ankiety na kosmetologii zdecydowały się uzupełnić tylko dwie osoby,  z czego jedna wszystkim wykładowcom postawiła oceny 2.0 we wszystkich kategoriach. Zgodnie z wnioskami wyciągniętymi przez </w:t>
            </w:r>
            <w:proofErr w:type="spellStart"/>
            <w:r w:rsidR="0083214F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ZEJKwF</w:t>
            </w:r>
            <w:proofErr w:type="spellEnd"/>
            <w:r w:rsidR="0083214F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„jest to podejrzane i tendencyjne działanie, rodzące podejrzenie celowego działania na szkodę nauczycieli akademickich.” Wynikająca z tego faktu niższa ocena dla kierunku przełożyła się na ogólną ocenę dla filii.  </w:t>
            </w:r>
          </w:p>
          <w:p w14:paraId="56DCF232" w14:textId="77777777" w:rsidR="0083214F" w:rsidRPr="005811D3" w:rsidRDefault="0083214F" w:rsidP="0083214F">
            <w:pPr>
              <w:pStyle w:val="Akapitzli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Średnia ocen dla wszystkich pytań w ankiecie była wyrównana – tj. studenci oceniają wszystkie aspekty prowadzonych zajęć w porównywalnym stopniu – żadna z kwestii nie została oceniona szczególnie wysoko czy szczególnie nisko.</w:t>
            </w:r>
          </w:p>
          <w:p w14:paraId="75445136" w14:textId="77777777" w:rsidR="0083214F" w:rsidRPr="005811D3" w:rsidRDefault="0083214F" w:rsidP="0083214F">
            <w:pPr>
              <w:pStyle w:val="Akapitzli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Również indywidualne oceny dla wykładowców (za wyjątkiem wspomnianej wyżej kosmetologii) pozostają na bardzo wysokim poziomie – prawie wszyscy wykładowcy uzyskali oceny wyróżniające. </w:t>
            </w:r>
          </w:p>
          <w:p w14:paraId="58EC77C8" w14:textId="70194551" w:rsidR="0083214F" w:rsidRPr="005811D3" w:rsidRDefault="0083214F" w:rsidP="0083214F">
            <w:pPr>
              <w:pStyle w:val="Akapitzli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Większość z uwag poczynionych przez respondentów była bardzo pozytywna – aspekt, na który studenci najczęściej zwracają uwagę to kwestia gotowości nauczycieli akademickich do powtórnego wyjaśniania problematycznych treści oraz klarowności przekazu</w:t>
            </w:r>
            <w:r w:rsidRPr="00E77655">
              <w:rPr>
                <w:rFonts w:asciiTheme="minorHAnsi" w:hAnsiTheme="minorHAnsi" w:cstheme="minorHAnsi"/>
                <w:bCs/>
                <w:sz w:val="20"/>
                <w:szCs w:val="20"/>
              </w:rPr>
              <w:t>. Istotniejsze i bardziej liczne opinie negatywne miały miejsce w przypadku tylko jednego wykładowcy</w:t>
            </w:r>
            <w:r w:rsidR="00E77655" w:rsidRPr="00E7765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Pr="00E77655">
              <w:rPr>
                <w:rFonts w:asciiTheme="minorHAnsi" w:hAnsiTheme="minorHAnsi" w:cstheme="minorHAnsi"/>
                <w:bCs/>
                <w:sz w:val="20"/>
                <w:szCs w:val="20"/>
              </w:rPr>
              <w:t>Podjęto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tej kwestii kroki wyjaśniające i działania kontrolne.</w:t>
            </w:r>
          </w:p>
          <w:p w14:paraId="030A2AF1" w14:textId="73FD427F" w:rsidR="00787A43" w:rsidRPr="005811D3" w:rsidRDefault="0083214F" w:rsidP="0083214F">
            <w:pPr>
              <w:pStyle w:val="Akapitzli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ZEJKwF</w:t>
            </w:r>
            <w:proofErr w:type="spellEnd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zwraca uwagę na fakt, iż liczba ankiet w semestrze letnim była niższa od tych z semestru zimowego, co prawdopodobnie wynika z faktu, że w semestrze letnim nie został przeprowadzony Tydzień z Ankietyzacją, który świetnie się sprawdził w semestrze zimowym. W swoich rekomendacjach </w:t>
            </w:r>
            <w:proofErr w:type="spellStart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ZEJKwF</w:t>
            </w:r>
            <w:proofErr w:type="spellEnd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sugeruje kontynuowanie tego działania przy każdej ankietyzacji, co ma zapewnić frekwencję, a co za tym idzie, większą miarodajność badania</w:t>
            </w:r>
            <w:r w:rsidR="00787A43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63BD35FC" w14:textId="77777777" w:rsidR="001A76A5" w:rsidRPr="005811D3" w:rsidRDefault="001A76A5" w:rsidP="001A76A5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Omówiono przekazany przez Zespół ds. Ewaluacji Jakości Kształcenia w Filii raport podsumowujący, dotyczący oceny zajęć dydaktycznych </w:t>
            </w:r>
            <w:r w:rsidRPr="005811D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 roku akademickim 2022/2023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Średnia ocena roczna dla filii wyniosła 4,67, co można uznać za wynik wysoki. Wyniki dla poszczególnych kierunków: Filologia angielska - 4,59, Kosmetologia - 4,23, Mechatronika - 4,97,  Administracja - 4,90, </w:t>
            </w:r>
            <w:proofErr w:type="spellStart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BFP</w:t>
            </w:r>
            <w:proofErr w:type="spellEnd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(pracownicy bez kierunku macierzystego) - 4,70. Wszystkie kierunki (z wyjątkiem kosmetologii) zostały więc ocenione na poziomie wyróżniającym, uzyskując średnią ocenę znacznie powyżej 4,51. Jeżeli chodzi o niższy niż zwykle wynik dla kierunku kosmetologia, </w:t>
            </w:r>
            <w:proofErr w:type="spellStart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ZEJKF</w:t>
            </w:r>
            <w:proofErr w:type="spellEnd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podkreśla, iż jest on wynikiem wystawienia przez jednego studenta oceny 2.0 wszystkim wykładowcom, co przy dość niskiej frekwencji wśród studentów tego kierunku, znacznie obniżyło wynik ogólny. </w:t>
            </w:r>
            <w:proofErr w:type="spellStart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ZEJKF</w:t>
            </w:r>
            <w:proofErr w:type="spellEnd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podkreśla, że wynik ten należy więc uznać za niemiarodajny. Pozostałe wyniki oscylują stałego wysokiego wyniku, który potwierdzają wszystkie kolejne badania ankietowe</w:t>
            </w: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7CAC8CB" w14:textId="2EA19C33" w:rsidR="00AD21FA" w:rsidRPr="005811D3" w:rsidRDefault="0083214F" w:rsidP="00AD21FA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Kontynuowano działania mające na celu </w:t>
            </w: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promowanie</w:t>
            </w:r>
            <w:r w:rsidR="00AD21FA"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ankietyzacji</w:t>
            </w:r>
            <w:r w:rsidR="00AD21FA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wśród studentów: posty informacyjne wyjaśniające najczęstsze wątpliwości zgłaszane przez studentów, Tydzień z Ankietyzacją, wykład na temat Systemu Zapewniania Jakości Kształcenia podczas Dnia Jakości Kształcenia</w:t>
            </w:r>
            <w:r w:rsidR="00AD21FA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Najskuteczniejszym narzędziem zdaje się być Tydzień z Ankietyzacją – w semestrach zimowych w latach 2022/2023 i 2023/2024 przyniósł on wzrost </w:t>
            </w:r>
            <w:r w:rsidR="00025755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frekwencji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. W semestrze letnim, gdy ankietyzacja trwa gdy zajęcia są już zakończone</w:t>
            </w:r>
            <w:r w:rsidR="00025755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nie był on przeprowadzany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, frekwencja była wyraźnie niższa.</w:t>
            </w:r>
          </w:p>
          <w:p w14:paraId="76F4A88C" w14:textId="0FBD911E" w:rsidR="00025755" w:rsidRPr="005811D3" w:rsidRDefault="00025755" w:rsidP="006154B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Przeprowadzono </w:t>
            </w: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ocenę wewnętrzną na poziomie filialnym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wszystkich kierunkach, zgodnie z procedurą oceny funkcjonowania Wewnętrznego Systemu Zapewniania Jakości Kształcenia (</w:t>
            </w:r>
            <w:proofErr w:type="spellStart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WSZJK</w:t>
            </w:r>
            <w:proofErr w:type="spellEnd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-W/3). Zakres oceny obejmował program studiów dla wszystkich roczników wraz z harmonogramem realizacji programu studiów, a w szczególności karty przedmiotów. Z analizy przygotowanych przez zespoły oceniające raportów wynika, iż programy studiów na wszystkich kierunkach są kompletne, </w:t>
            </w:r>
            <w:proofErr w:type="spellStart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t.j</w:t>
            </w:r>
            <w:proofErr w:type="spellEnd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. zawierają wszystkie wymagan</w:t>
            </w:r>
            <w:r w:rsidR="001A76A5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załączniki. Pozytywnie oceniono też poziom realizacji dobrych praktyk. Jednakże, niezbędna będzie intensyfikacja dodatkowych działań umożliwiających uzyskanie przez studentów praktycznych umiejętności zawodowych. Wszystkie zespoły oceniające stwierdziły pewne, choć stosunkowo nieliczne,  usterki w kartach przedmiotów (np.: niepoprawny wzór karty, niepoprawnie sformułowane cele przedmiotu, obecność efektów uczenia się które są tożsame z efektami zawartymi w programie studiów, nadmierna liczebność pozycji literatury, zwłaszcza uzupełniającej, błędy edycyjne). Wszystkie powyższe usterki zostały już usunięte, a fakt ten odnotowano w protokołach z posiedzeń </w:t>
            </w:r>
            <w:proofErr w:type="spellStart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KZJK</w:t>
            </w:r>
            <w:proofErr w:type="spellEnd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przy kierunkach.</w:t>
            </w:r>
          </w:p>
          <w:p w14:paraId="39D12590" w14:textId="0250F98A" w:rsidR="0069130A" w:rsidRPr="005811D3" w:rsidRDefault="0069130A" w:rsidP="004476A0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Zaktualizowano dokumentację praktyk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wszystkich kierunkach, uwzględniając Zarządzenie nr 155/2023 Rektora Uniwersytetu Jana Kochanowskiego w Kielcach z dnia 13 września 2023 roku zmieniające zarządzenie nr 95/2020 Rektora Uniwersytetu Jana Kochanowskiego w Kielcach z dnia 8 maja 2020 roku w sprawie praktyk zawodowych dla studentów oraz dla słuchaczy studiów podyplomowych Uniwersytetu Jana Kochanowskiego w Kielcach. W dokumentacji dodano zapis o konieczności hospitacji 10% studentów realizujących praktyki zawodowe, wynikający z Zarządzenia nr 155/2023 (z wyjątkiem śródrocznej praktyki nauczycielskiej na filologii angielskiej, gdzie odsetek ten wynosi 100% godzin praktyki).</w:t>
            </w:r>
          </w:p>
          <w:p w14:paraId="2038B8EF" w14:textId="75DDA58E" w:rsidR="0069130A" w:rsidRDefault="0069130A" w:rsidP="0069130A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Komisja przenalizowała </w:t>
            </w: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sprawozdania z analizy wyników ankiet przeprowadzanych po odbyciu przez studentów praktyk zawodowych 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na wszystkich kierunkach. Wyniki wskazują na bardzo wysoki poziomi zadowolenia studentów z przebiegu i organizacji praktyk. Ankiety nie wykazały żadnych problemów ani trudności w trakcie realizacji praktyki zawodowej.</w:t>
            </w:r>
          </w:p>
          <w:p w14:paraId="6B9491EC" w14:textId="77777777" w:rsidR="00B66670" w:rsidRPr="005811D3" w:rsidRDefault="00B66670" w:rsidP="00B66670">
            <w:pPr>
              <w:pStyle w:val="Akapitzli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53ED6B9" w14:textId="6AB556FC" w:rsidR="00002B86" w:rsidRPr="005811D3" w:rsidRDefault="0069130A" w:rsidP="00036213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Opracowano wzór ankiety badającej poziom zainteresowania studentów programem Erasmus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+. W związku z faktem, iż wskaźnik umiędzynarodowienia w filii pozostaje na niskim poziomie, stwierdzono, iż należy ustalić co stoi za brakiem zainteresowania studentów udziałem w programie Erasmus+. Ankiety mają pomóc ustalić czy i w jakim stopniu studenci znają główne założenia programu i możliwości wyjazdowe jakie oferuje. Ustalenie powodów, dla których studenci nie decydują się na udział w programie może posłużyć do przeprowadzenia kampanii informacyjnej nakierowanej na rozwianie najczęściej zgłaszanych wątpliwości / przewidywanych trudności. Ankietę przeprowadzono w maju b.r. Wyniki wskazują, iż</w:t>
            </w:r>
            <w:r w:rsidR="00002B86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ponad połowa ankietowanych (61%) stwierdziła iż posiada wiedzę na temat możliwości jakie oferuje udział w programie Erasmus+. Około 30% studentów takiej wiedzy nie miało. Odpowiadając na pytanie dotyczące źródeł z jakich studenci pozyskali wiedze o programie, do najważniejszych należały media społecznościowe Filii oraz spotkanie informacyjne z pracownikiem uczelni.</w:t>
            </w:r>
            <w:r w:rsidR="00C54D51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02B86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Zainteresowanie wyjazdem w ramach programu Erasmus+ zadeklarowało 41% ankietowanych. Niestety, pomimo takiego wyniku, deklaracje nie przekładają się na faktyczne decyzje w sprawie udziału w programie. W nadchodzącym roku akademickim na wyjazd zdecydowało się tylko dwóch studentów kierunku filologia angielska. Jako najczęstszy powód podano kwestie osobiste i, na drugim miejscu, finansowe.</w:t>
            </w:r>
          </w:p>
          <w:p w14:paraId="56C017BA" w14:textId="7B0C4A2B" w:rsidR="00002B86" w:rsidRPr="005811D3" w:rsidRDefault="00002B86" w:rsidP="00C54D51">
            <w:pPr>
              <w:pStyle w:val="Akapitzli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Komisja rekomenduje dalsze działania mające na celu popularyzację programu Erasmus+ wśród studentów – w szczególności postów w mediach społecznościowych i spotkań z pracownikiem uczelni, gdyż te działania okazały się najbardziej skuteczne.</w:t>
            </w:r>
            <w:r w:rsidR="00C54D51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Ustalono, iż w kampanii informacyjnej należy położyć nacisk na sposób finansowani</w:t>
            </w:r>
            <w:r w:rsidR="001A76A5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C54D51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projektu, ponieważ to między innymi właśnie kwestia finansów budzi wątpliwości studentów.</w:t>
            </w:r>
          </w:p>
          <w:p w14:paraId="47BA76D6" w14:textId="77777777" w:rsidR="00053354" w:rsidRPr="005811D3" w:rsidRDefault="002367E1" w:rsidP="00053354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Przeprowadzono ankietyzację na poziomie filii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(w formie papierowej). Oprócz ankiety badającej poziom zainteresowania udziałem w programie Erasmus+, przeprowadzono 2 inne ankiety: </w:t>
            </w:r>
            <w:r w:rsidR="00053354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ankietę w przedmiocie badania poziomu zadowolenia studentów ze sposobu planowania zajęć dydaktycznych, oraz ankietę w przedmiocie badania zadowolenia z zajęć praktycznych przygotowujących do wykonywania zawodu.    </w:t>
            </w:r>
          </w:p>
          <w:p w14:paraId="57AAD0B0" w14:textId="6556104F" w:rsidR="00053354" w:rsidRPr="005811D3" w:rsidRDefault="00053354" w:rsidP="00053354">
            <w:pPr>
              <w:pStyle w:val="Akapitzlist"/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Wyniki ankietyzacji przedstawiają się następująco: </w:t>
            </w:r>
          </w:p>
          <w:p w14:paraId="16ED03D2" w14:textId="3909E55E" w:rsidR="00053354" w:rsidRPr="005811D3" w:rsidRDefault="00053354" w:rsidP="00053354">
            <w:pPr>
              <w:pStyle w:val="Akapitzlist"/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analizy rozkładu odpowiedzi udzielonych w pierwszej z tych  ankiet wynika, że studenci filii są zadowoleni z funkcjonującego planu zajęć w semestrze,  w którym przeprowadzono badanie (semestr letni bieżącego roku </w:t>
            </w:r>
            <w:proofErr w:type="spellStart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akad</w:t>
            </w:r>
            <w:proofErr w:type="spellEnd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.). Studenci wszystkich kierunków w tym zakresie udzielali odpowiedzi twierdzących. Zdecydowana większość studentów nie deklarowała nadmiernej ilości okienek w funkcjonujących planach zajęć.</w:t>
            </w:r>
          </w:p>
          <w:p w14:paraId="58BC6584" w14:textId="58942AA0" w:rsidR="00AB364B" w:rsidRDefault="00053354" w:rsidP="001A76A5">
            <w:pPr>
              <w:pStyle w:val="Akapitzli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Większość studentów wypowiadała się negatywnie co do długości przerw pomiędzy zajęciami</w:t>
            </w:r>
            <w:r w:rsidR="009406EE">
              <w:rPr>
                <w:rFonts w:asciiTheme="minorHAnsi" w:hAnsiTheme="minorHAnsi" w:cstheme="minorHAnsi"/>
                <w:bCs/>
                <w:sz w:val="20"/>
                <w:szCs w:val="20"/>
              </w:rPr>
              <w:t>, tj. uważają oni, że przerwy są za krótkie. Również przedstawiciel</w:t>
            </w:r>
            <w:r w:rsidR="00B66670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9406E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samorządu zwrócili się z tą kwestią do Prodziekan ds. Kształcenia, sugerując, że w rozkładzie zajęć powinna się znaleźć jedna nieco dłuższa przerwa w ciągu dnia, najlepiej w porze obiadowej. </w:t>
            </w:r>
            <w:r w:rsidR="00B66670">
              <w:rPr>
                <w:rFonts w:asciiTheme="minorHAnsi" w:hAnsiTheme="minorHAnsi" w:cstheme="minorHAnsi"/>
                <w:bCs/>
                <w:sz w:val="20"/>
                <w:szCs w:val="20"/>
              </w:rPr>
              <w:t>Zważywszy</w:t>
            </w:r>
            <w:r w:rsidR="00AB364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fakt, </w:t>
            </w:r>
            <w:r w:rsidR="00B66670">
              <w:rPr>
                <w:rFonts w:asciiTheme="minorHAnsi" w:hAnsiTheme="minorHAnsi" w:cstheme="minorHAnsi"/>
                <w:bCs/>
                <w:sz w:val="20"/>
                <w:szCs w:val="20"/>
              </w:rPr>
              <w:t>że</w:t>
            </w:r>
            <w:r w:rsidR="00AB364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zajęcia planowane są w taki sposób, by studenci nie mieli okienek, brak jednej dłuższej przerwy rzeczywiście może być problematyczny. W związku</w:t>
            </w:r>
            <w:r w:rsidR="00B666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</w:t>
            </w:r>
            <w:r w:rsidR="00AB364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powyższym w semestrze zimowym 2024/2025 zaplanowano jedną 30-minutową przerwę od godziny 12. Jeżeli to rozwiązanie się sprawdzi, zostanie na stałe włączone do sposobu planowania zajęć w filii.</w:t>
            </w:r>
          </w:p>
          <w:p w14:paraId="18C7F399" w14:textId="309ED775" w:rsidR="001A76A5" w:rsidRPr="005811D3" w:rsidRDefault="009406EE" w:rsidP="001A76A5">
            <w:pPr>
              <w:pStyle w:val="Akapitzli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53354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Studenci pozytywnie wypowiadali się o planowaniu dni pracy własnej w grafiku kosztem zblokowania zajęć w inne dni. Tylko studenci Administracji byli neutralni wobec tego pomysłu. Jest to rozwiązanie, które już jest wdrażane na wszystkich kierunkach i dobrze się sprawdza, także ze względu na konieczność realizacji dużej liczby godzin praktyk.</w:t>
            </w:r>
          </w:p>
          <w:p w14:paraId="43257870" w14:textId="714246E9" w:rsidR="00053354" w:rsidRPr="005811D3" w:rsidRDefault="00053354" w:rsidP="001A76A5">
            <w:pPr>
              <w:pStyle w:val="Akapitzli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Wyniki drugiej z ankiet (nt. praktycznego przygotowania do zawodu) potwierdzają dobre przygotowanie studentów do odbywania praktyk i wykonywania zawodu w ramach zajęć praktycznych. Studenci pozytywnie wypowiadali się w uwagach na temat podawania przez wykładowców-praktyków przykładów z życia zawodowego. Studenci wszystkich kierunków zgodnie potwierdzali, że osoby prowadzące zajęcia dzieli</w:t>
            </w:r>
            <w:r w:rsidR="001A76A5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ły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się wiedzą i praktycznymi umiejętnościami pozyskanymi podczas aktywnego wykonywania zawodu</w:t>
            </w:r>
            <w:r w:rsidR="001A76A5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oraz że wykładowcy angażowali studentów do aktywnego udziału w zajęciach. Ponadto, studenci wszystkich kierunków oceniali pozytywnie stosunek zajęć teoretycznych do praktycznych w ogólnej ilości zaplanowanych godzin dydaktycznych.</w:t>
            </w:r>
            <w:r w:rsidR="0084399E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Jeśli chodzi o infrastrukturę i wyposażenie laboratoriów/</w:t>
            </w:r>
            <w:proofErr w:type="spellStart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sal</w:t>
            </w:r>
            <w:proofErr w:type="spellEnd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większości pozytywnie wypowiadali się studenci mechatroniki i administracji, a także kosmetologii. </w:t>
            </w:r>
            <w:bookmarkStart w:id="1" w:name="_Hlk177743750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Na tym ostatnim kierunku pojawiły się jednakże komentarze na temat jakości używanych kosmetyków i postawy prowadzącego</w:t>
            </w:r>
            <w:bookmarkEnd w:id="1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Zostały w tych kwestiach podjęte zdecydowane kroki. W przypadku filologii angielskiej, większość studentów wypowiedziała się negatywnie na temat infrastruktury, pomimo </w:t>
            </w:r>
            <w:r w:rsidRPr="00D94C92">
              <w:rPr>
                <w:rFonts w:asciiTheme="minorHAnsi" w:hAnsiTheme="minorHAnsi" w:cstheme="minorHAnsi"/>
                <w:bCs/>
                <w:sz w:val="20"/>
                <w:szCs w:val="20"/>
              </w:rPr>
              <w:t>faktu, że</w:t>
            </w:r>
            <w:r w:rsidRPr="00D94C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bookmarkStart w:id="2" w:name="_Hlk177743808"/>
            <w:r w:rsidRPr="00D94C92">
              <w:rPr>
                <w:rFonts w:asciiTheme="minorHAnsi" w:hAnsiTheme="minorHAnsi" w:cstheme="minorHAnsi"/>
                <w:bCs/>
                <w:sz w:val="20"/>
                <w:szCs w:val="20"/>
              </w:rPr>
              <w:t>filia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dysponuje pracownią fonetyczną oraz oprogramowaniem do wykonywania tłumaczeń. </w:t>
            </w:r>
            <w:r w:rsidR="00D94C92">
              <w:rPr>
                <w:rFonts w:asciiTheme="minorHAnsi" w:hAnsiTheme="minorHAnsi" w:cstheme="minorHAnsi"/>
                <w:bCs/>
                <w:sz w:val="20"/>
                <w:szCs w:val="20"/>
              </w:rPr>
              <w:t>Prawdopodobnie więc ta negatywna ocena dotyczyła warunków ogólnych w budynku.</w:t>
            </w:r>
          </w:p>
          <w:bookmarkEnd w:id="2"/>
          <w:p w14:paraId="3F450B08" w14:textId="16C1EF6B" w:rsidR="002367E1" w:rsidRPr="005811D3" w:rsidRDefault="002367E1" w:rsidP="008439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AD5C2AC" w14:textId="24341640" w:rsidR="00B43594" w:rsidRPr="005811D3" w:rsidRDefault="00B43594" w:rsidP="00B43594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Komisja przenalizowała przekazany przez Zespół ds. Ewaluacji Jakości Kształcenia w Filii </w:t>
            </w: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raport dotyczący monitorowania karier zawodowych absolwentów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roczników 2017 / 2018; 2019 / 2020; 2021 / 2022. Jeżeli chodzi o udział absolwentów filii w badaniu, byli oni reprezentowani w bardzo niskim stopniu:</w:t>
            </w:r>
          </w:p>
          <w:p w14:paraId="69A49A04" w14:textId="77777777" w:rsidR="00002B86" w:rsidRPr="005811D3" w:rsidRDefault="00002B86" w:rsidP="00002B86">
            <w:pPr>
              <w:pStyle w:val="Akapitzlist"/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59A3680" w14:textId="77777777" w:rsidR="00B43594" w:rsidRPr="005811D3" w:rsidRDefault="00B43594" w:rsidP="00B43594">
            <w:pPr>
              <w:pStyle w:val="Akapitzlist"/>
              <w:spacing w:after="0"/>
              <w:ind w:left="1045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Rocznik 2017 / 2018 po pięciu latach od ukończenia studiów: w Filii w Sandomierzu w badaniu wzięła </w:t>
            </w: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1 osoba.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8298346" w14:textId="77777777" w:rsidR="00B43594" w:rsidRPr="005811D3" w:rsidRDefault="00B43594" w:rsidP="00B43594">
            <w:pPr>
              <w:pStyle w:val="Akapitzlist"/>
              <w:spacing w:after="0"/>
              <w:ind w:left="1045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Rocznik 2019 / 2020 po trzech latach od ukończenia studiów: najmniej ankiet wpłynęło od absolwentów Filii </w:t>
            </w:r>
            <w:proofErr w:type="spellStart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UJK</w:t>
            </w:r>
            <w:proofErr w:type="spellEnd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Sandomierzu – 1,0% </w:t>
            </w: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- 3 osoby,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 stanowiło 1,0% ankietowanych. </w:t>
            </w:r>
          </w:p>
          <w:p w14:paraId="5385CD5A" w14:textId="26F907A4" w:rsidR="00B43594" w:rsidRPr="005811D3" w:rsidRDefault="00B43594" w:rsidP="00B43594">
            <w:pPr>
              <w:pStyle w:val="Akapitzlist"/>
              <w:spacing w:after="0"/>
              <w:ind w:left="1045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Rocznik 2021 / 2022 po jednym roku od ukończenia studiów: ankietę wypełniło jedynie </w:t>
            </w: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5 absolwentów Filii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, co stanowiło 1% ankietowanych.</w:t>
            </w:r>
          </w:p>
          <w:p w14:paraId="2952F4EE" w14:textId="77777777" w:rsidR="00002B86" w:rsidRPr="005811D3" w:rsidRDefault="00002B86" w:rsidP="00B43594">
            <w:pPr>
              <w:pStyle w:val="Akapitzlist"/>
              <w:spacing w:after="0"/>
              <w:ind w:left="1045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BFF3B8B" w14:textId="77777777" w:rsidR="00B43594" w:rsidRPr="005811D3" w:rsidRDefault="00B43594" w:rsidP="00B43594">
            <w:pPr>
              <w:pStyle w:val="Akapitzlist"/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Zgodnie z konkluzjami zawartymi w raporcie </w:t>
            </w:r>
            <w:proofErr w:type="spellStart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ZEJKwF</w:t>
            </w:r>
            <w:proofErr w:type="spellEnd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informacje i wnioski uzyskane z tych ankiet mogą być traktowane jedynie „luźnie sondażowo”, a nie powinny służyć jako źródło do analiz jakościowych lub ilościowych ponieważ badana grupa w żadnym razie nie jest reprezentatywna dla populacji. Badania objęły od 11% do 15% Uniwersytetu (w tym ok. 1% absolwentów filii), co trudno uznać za próbę reprezentatywną.     </w:t>
            </w:r>
          </w:p>
          <w:p w14:paraId="01E7ED59" w14:textId="221CB390" w:rsidR="00B43594" w:rsidRPr="005811D3" w:rsidRDefault="00B43594" w:rsidP="00B43594">
            <w:pPr>
              <w:pStyle w:val="Akapitzlist"/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Ogólne wnioski, jakie można wyciągnąć z wyników ankiet wskazują na fakt, że studenci najlepiej oceniają uzyskane podczas studiów wiedzę oraz kompetencje społeczne. Uzyskane umiejętności oceniane są niżej – w przypadku rocznika 2017/2018 (badanie po pięciu latach od ukończenia studiów), 25 procent ankietowanych oceniło swoje umiejętności w stopniu niskim. W przypadku rocznika 2018 / 2019 (badanie po trzech latach od ukończenia studiów) jest to aż 27 procent. W przypadku rocznika 2021 / 2022 po jednym roku od ukończenia studiów jest to 20 procent ankietowanych. Ze względu na znikomy udział absolwentów filii  w badaniach trudno stwierdzić, na ile tak niskie oceny nabytych umiejętności dotyczą także filii. W filii na wszystkich prowadzonych kierunkach, kształcenie realizowane jest na profilu praktycznym, co oznacza większą liczbę zajęć praktycznych przygotowujących do wykonywania zawodu, zajęcia prowadzone przez praktyków w zawodzie, oraz, w przypadku kosmetologii, administracji i mechatroniki praktyki zawodowe w wymiarze 960 godzin. Można więc zaryzykować twierdzeni</w:t>
            </w:r>
            <w:r w:rsidR="001A76A5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że filia umożliwia studentom nabycie umiejętności praktycznych niezbędnych do funkcjonowania w zawodzie w bardzo wysokim stopniu. Celem jeszcze lepszego przygotowania studentów w tym zakresie należałoby rozważyć zwiększenie oferty dodatkowych działań </w:t>
            </w:r>
            <w:bookmarkStart w:id="3" w:name="_Hlk177743904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umożliwiających studentom nabycie praktycznych umiejętności (np. dodatkowe szkolenia nie wynikające z programu studiów). </w:t>
            </w:r>
          </w:p>
          <w:bookmarkEnd w:id="3"/>
          <w:p w14:paraId="28038FA1" w14:textId="01ED0860" w:rsidR="00B43594" w:rsidRPr="005811D3" w:rsidRDefault="00B43594" w:rsidP="00B43594">
            <w:pPr>
              <w:pStyle w:val="Akapitzlist"/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Uwagę zwraca fakt, że studenci za przydatne uznali także kompetencje miękkie. Do najczęściej podawanych należały: umiejętności społeczne, zaradność życiowa, zaangażowanie, samodoskonalenie, zaangażowanie w działalność społeczną (samorząd, wolontariat). Filia już oferuje wsparcie studentów w tym zakresie poprzez przedmiot wsparcia w zakresie uczenia się, konsultacje </w:t>
            </w:r>
            <w:proofErr w:type="spellStart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coachingowe</w:t>
            </w:r>
            <w:proofErr w:type="spellEnd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prowadzone przez dr Małgorzatę Makowską dla studentów zgłaszający</w:t>
            </w:r>
            <w:r w:rsidR="001A76A5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ch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taką potrzebę, oraz wykłady o tej tematyce podczas Dnia Jakości Kształcenia. </w:t>
            </w:r>
          </w:p>
          <w:p w14:paraId="59DE9558" w14:textId="77777777" w:rsidR="00B43594" w:rsidRDefault="00B43594" w:rsidP="00B43594">
            <w:pPr>
              <w:pStyle w:val="Akapitzlist"/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B8CDFA7" w14:textId="77777777" w:rsidR="00D94C92" w:rsidRDefault="00D94C92" w:rsidP="00B43594">
            <w:pPr>
              <w:pStyle w:val="Akapitzlist"/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6A38EF7" w14:textId="77777777" w:rsidR="00D94C92" w:rsidRPr="005811D3" w:rsidRDefault="00D94C92" w:rsidP="00B43594">
            <w:pPr>
              <w:pStyle w:val="Akapitzlist"/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BA9D08E" w14:textId="171EF7CE" w:rsidR="00B43594" w:rsidRPr="005811D3" w:rsidRDefault="00B43594" w:rsidP="00B43594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Przenalizowano dane z Ogólnopolskiego systemu monitorowania Ekonomicznych Losów Absolwentów – ELA. 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Zawierają one szczątkowe dane dotyczące absolwentów filii. Niewielki odsetek absolwentów, którzy zostali ujęci w ankietyzacji stanowi istotny problem i uniemożliwia traktowanie wyników badania jako podstawy do podjęcia działań w kierunku modyfikacji harmonogramów realizacji programów studiów. W roku 2021 tylko kierunek Mechatronika został uwzględniony w bazie, ponieważ raporty ELA generowane są tylko dla kierunków, dla których liczba absolwentów przekracza 10 osób. Najważniejsza konkluzja z danych to fakt, że absolwenci kierunku mechatronika zdają się być zagrożeni bezrobociem w małym stopniu. Średni czas poszukiwania pracy wniósł około 6 miesięcy, przy czym prawie połowa absolwentów albo już miała pracę przed rozpoczęciem studiów, albo rozpoczęła pracę w trakcie studiów. Być może właśnie duża aktywność zawodowa absolwentów mechatroniki stanowi wyjaśnienie faktu, że tylko 20% absolwentów kierunku po ukończeniu studiów I stopnia podjęły studia II stopnia.</w:t>
            </w:r>
          </w:p>
          <w:p w14:paraId="622FE905" w14:textId="7C82499E" w:rsidR="00B43594" w:rsidRPr="005811D3" w:rsidRDefault="00B43594" w:rsidP="00B43594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Omówiono przekazany przez Zespół ds. Ewaluacji Jakości Kształcenia w Filii raport dotyczący wyników </w:t>
            </w: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ankietyzacji </w:t>
            </w:r>
            <w:r w:rsidRPr="00D90B0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 semestrze zimowym 2023/2024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. Średnia ocena wykładowcy wyniosła 4,74 co należy uznać za wynik bardzo wysoki. Średnia ocena dla poszczególnych kierunków studiów była wyrównana: Filologia angielska: 4,68, Kosmetologia: 4,67, Mechatronika: 4,78, Administracja: 4,98.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 xml:space="preserve"> Należy przy tym zaznaczyć, że najbardziej miarodajną oceną jest ta dla filologii angielskiej, ponieważ oddano tutaj najwięcej głosów a najmniej w przypadku mechatroniki, gdzie ankiety wypełnili pojedynczy studenci. </w:t>
            </w:r>
          </w:p>
          <w:p w14:paraId="630B567B" w14:textId="77777777" w:rsidR="00B43594" w:rsidRPr="005811D3" w:rsidRDefault="00B43594" w:rsidP="00B43594">
            <w:pPr>
              <w:pStyle w:val="Akapitzli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Istotnym czynnikiem jest też fakt, że podobne oceny dla wykładowców utrzymują się od kilku lat, co rzutuje pozytywnie na wiarygodność badania. Analizując wyniki dla poszczególnych pytań, te również są stabilne i utrzymują się na wysokim poziomie.</w:t>
            </w:r>
          </w:p>
          <w:p w14:paraId="69BA5002" w14:textId="447A343E" w:rsidR="00B43594" w:rsidRPr="005811D3" w:rsidRDefault="00B43594" w:rsidP="00B43594">
            <w:pPr>
              <w:pStyle w:val="Akapitzli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Jeżeli chodzi o komentarze, wysoka frekwencja wśród studentów filologii angielskiej przełożyła się na wysoką liczbę komentarzy, z których większość to komentarze bardzo pozytywne. Tylko jeden wykładowca na kierunku uzyskał liczne komentarze negatywne, dotyczące poziomu prowadzonych zajęć. Ponieważ takie komentarze pojawiły się już w roku ubiegłym, w mijającym roku akademickim, pracownik był hospitowany dwukrotnie.</w:t>
            </w:r>
          </w:p>
          <w:p w14:paraId="05EAB5D7" w14:textId="53CABEE1" w:rsidR="0069130A" w:rsidRPr="005811D3" w:rsidRDefault="00B43594" w:rsidP="00002B86">
            <w:pPr>
              <w:pStyle w:val="Akapitzli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Wykładowcy wszystkich kierunków otrzymali także liczne komentarze pozytywne. Najczęstsze z nich to: profesjonalizm, umiejętność wytłumaczenia złożonych kwestii, bardzo dobre przygotowanie do zajęć (na przykład przygotowywanie dodatkowych materiałów, prezentacji), zachęcanie studentów do aktywności, praktyczny charakter zajęć, sposób bycia i podejście do studentów (otwartość, pozytywność), gotowość do umawiania się na dodatkowe konsultacje, praktyczny charakter zajęć i przywoływanie praktycznych przykładów z życia zawodowego przez nauczycieli-praktyków.  Kwestie pozytywne , które pojawiły się w komentarzach po raz pierwszy wzbogacą katalog dobrych praktyk dydaktyczny</w:t>
            </w:r>
            <w:r w:rsidR="005811D3"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ch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, przekazywany prowadzącym na początku każdego roku akademickiego.</w:t>
            </w:r>
          </w:p>
          <w:p w14:paraId="16567D32" w14:textId="6F9C6773" w:rsidR="00210A57" w:rsidRPr="005811D3" w:rsidRDefault="0084399E" w:rsidP="005811D3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kierunku kosmetologia wdrożono </w:t>
            </w: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dodatkowe narzędzie weryfikacji osiągania przez studenta przedmiotowych efektów uczenia się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, przedstawione przez Z-</w:t>
            </w:r>
            <w:proofErr w:type="spellStart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cę</w:t>
            </w:r>
            <w:proofErr w:type="spellEnd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Dyrektora ds.</w:t>
            </w:r>
            <w:r w:rsidR="00D90B0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kształcenia 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opracowane przez </w:t>
            </w:r>
            <w:proofErr w:type="spellStart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KZJK</w:t>
            </w:r>
            <w:proofErr w:type="spellEnd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przy kierunku kosmetologia. Mając na celu weryfikację skuteczności procesu kształcenia na kierunku, </w:t>
            </w:r>
            <w:proofErr w:type="spellStart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KZJK</w:t>
            </w:r>
            <w:proofErr w:type="spellEnd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opracował arkusz oceny stopnia osiągni</w:t>
            </w:r>
            <w:r w:rsidR="003755EC">
              <w:rPr>
                <w:rFonts w:asciiTheme="minorHAnsi" w:hAnsiTheme="minorHAnsi" w:cstheme="minorHAnsi"/>
                <w:bCs/>
                <w:sz w:val="20"/>
                <w:szCs w:val="20"/>
              </w:rPr>
              <w:t>ę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cia przez studenta przedmiotowych efektów uczenia się. Arkusz będzie wypełniany przez prowadzących zajęcia po zakończeniu zajęć dla każdego ze studentów. Zaletą proponowanego narzędzia jest fakt iż w odróżnieniu od ankiet samooceny osiągania kierunkowych efektów uczenia się, weryfikują one poziom osiągania przedmiotowych efektów uczenia się, co pozwala na bardziej bezpośrednią kontrolę nad poprawnością realizacji kart przedmiotu.</w:t>
            </w:r>
          </w:p>
          <w:p w14:paraId="09D2C4B0" w14:textId="56A0C68D" w:rsidR="00077AF1" w:rsidRPr="005811D3" w:rsidRDefault="00210A57" w:rsidP="00210A57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Przeanalizowano wyniki ankiet oceny obsługi administracyjnej w uczelni i w filii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Ogólna ocena dla Dziekanatu filii to 4,76 (ocena ogólna dla </w:t>
            </w:r>
            <w:proofErr w:type="spellStart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UJK</w:t>
            </w:r>
            <w:proofErr w:type="spellEnd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wyniosła 4,25), co świadczy o zadowoleniu studentów z poziomu obsługi administracyjnej świadczonej w Dziekanacie. Jeden student/ka zdecydował/a się na podzielenie bardzo pozytywnym komentarzem: „Panie chętnie służą pomocą i udzielają odpowiedzi na 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zadane pytania.” Najwyżej oceniono obsługę w zakresie świadczeń dla studentów (5.0), najniżej w zakresie planowania zajęć (4,47). Ten ostatni punkt został oceniony niżej od innych kwestii także przez ogół studentów </w:t>
            </w:r>
            <w:proofErr w:type="spellStart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>UJK</w:t>
            </w:r>
            <w:proofErr w:type="spellEnd"/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na 3.69. W przypadku filii wynik ten jest znacząco wyższy, co może świadczyć o większej satysfakcji studentów filii w tym zakresie w porównaniu do innych wydziałów. Potwierdza to przeprowadzona w mijającym roku akademickim ankieta, w której studenci wypowiedzieli się pozytywnie o sposobie planowania zajęć w filii. Podsumowując, można przyjąć, że wyniki ankiet wskazują na bardzo dobry poziom obsługi administracyjnej w filii, przy czym wyniki wskazują na fakt, że istotną kwestią dla studentów jest sposób planowania zajęć, należy więc, jak dotychczas, przykładać wszelkich starań, by sposób zaplanowania zajęć był jak najbardziej pro-studencki: w planach nie ma okienek, ponadto dobrą praktyką stosowaną przez filię jest planowanie jednego dnia pracy indywidualnej dla studentów, przewidywanie jednego lub nawet dwóch dni w tygodniu na praktyki dla studentów lat wyższych, co jest niezbędne do realizacji bardzo dużej liczby godzin praktyk, jaka przewidują programy studiów dla kierunków praktycznych.</w:t>
            </w:r>
          </w:p>
          <w:p w14:paraId="575DC552" w14:textId="4BC9EA45" w:rsidR="00F4625A" w:rsidRPr="005811D3" w:rsidRDefault="00E30076" w:rsidP="00F4625A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4" w:name="_Hlk146721453"/>
            <w:r w:rsidRPr="00F747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Omówiono przekazany przez </w:t>
            </w:r>
            <w:proofErr w:type="spellStart"/>
            <w:r w:rsidRPr="00F7470F">
              <w:rPr>
                <w:rFonts w:asciiTheme="minorHAnsi" w:hAnsiTheme="minorHAnsi" w:cstheme="minorHAnsi"/>
                <w:b/>
                <w:sz w:val="20"/>
                <w:szCs w:val="20"/>
              </w:rPr>
              <w:t>ZEJKwF</w:t>
            </w:r>
            <w:proofErr w:type="spellEnd"/>
            <w:r w:rsidRPr="00F747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raport z analizy wyników ankiet ogólnouniwersyteckich</w:t>
            </w:r>
            <w:r w:rsidR="00186939" w:rsidRPr="00F747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roku 2023/2024</w:t>
            </w:r>
            <w:r w:rsidRPr="00F747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643A98" w:rsidRPr="00F7470F">
              <w:rPr>
                <w:rFonts w:asciiTheme="minorHAnsi" w:hAnsiTheme="minorHAnsi" w:cstheme="minorHAnsi"/>
                <w:sz w:val="20"/>
                <w:szCs w:val="20"/>
              </w:rPr>
              <w:t>Wyniki ank</w:t>
            </w:r>
            <w:r w:rsidR="00643A98" w:rsidRPr="00643A98">
              <w:rPr>
                <w:rFonts w:asciiTheme="minorHAnsi" w:hAnsiTheme="minorHAnsi" w:cstheme="minorHAnsi"/>
                <w:sz w:val="20"/>
                <w:szCs w:val="20"/>
              </w:rPr>
              <w:t>ietyzacji wskazują, iż zdecydowana większość ocenianych wykładowców, jak również form zajęć uzyskały oceny wyróżniające</w:t>
            </w:r>
            <w:r w:rsidR="00E41765">
              <w:rPr>
                <w:rFonts w:asciiTheme="minorHAnsi" w:hAnsiTheme="minorHAnsi" w:cstheme="minorHAnsi"/>
                <w:sz w:val="20"/>
                <w:szCs w:val="20"/>
              </w:rPr>
              <w:t>, mieszczące się w przedziale</w:t>
            </w:r>
            <w:r w:rsidR="00643A98" w:rsidRPr="00643A98">
              <w:rPr>
                <w:rFonts w:asciiTheme="minorHAnsi" w:hAnsiTheme="minorHAnsi" w:cstheme="minorHAnsi"/>
                <w:sz w:val="20"/>
                <w:szCs w:val="20"/>
              </w:rPr>
              <w:t xml:space="preserve"> 4,50-5,00.</w:t>
            </w:r>
            <w:r w:rsidR="00E417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86939">
              <w:rPr>
                <w:rFonts w:asciiTheme="minorHAnsi" w:hAnsiTheme="minorHAnsi" w:cstheme="minorHAnsi"/>
                <w:sz w:val="20"/>
                <w:szCs w:val="20"/>
              </w:rPr>
              <w:t xml:space="preserve">Godnym odnotowania jest fakt, że studenci wszystkich kierunków szczególnie wysoko oceniają praktyki zawodowe. </w:t>
            </w:r>
            <w:r w:rsidR="00186939" w:rsidRPr="00186939">
              <w:rPr>
                <w:rFonts w:asciiTheme="minorHAnsi" w:hAnsiTheme="minorHAnsi" w:cstheme="minorHAnsi"/>
                <w:sz w:val="20"/>
                <w:szCs w:val="20"/>
              </w:rPr>
              <w:t xml:space="preserve">Na podstawie danych </w:t>
            </w:r>
            <w:r w:rsidR="00F7470F">
              <w:rPr>
                <w:rFonts w:asciiTheme="minorHAnsi" w:hAnsiTheme="minorHAnsi" w:cstheme="minorHAnsi"/>
                <w:sz w:val="20"/>
                <w:szCs w:val="20"/>
              </w:rPr>
              <w:t xml:space="preserve">dotyczących </w:t>
            </w:r>
            <w:r w:rsidR="00186939" w:rsidRPr="00186939">
              <w:rPr>
                <w:rFonts w:asciiTheme="minorHAnsi" w:hAnsiTheme="minorHAnsi" w:cstheme="minorHAnsi"/>
                <w:sz w:val="20"/>
                <w:szCs w:val="20"/>
              </w:rPr>
              <w:t>frekwencji oceny nauczyciela można również zauważyć, że aktywność studentów była zdecydowanie większa w semestrze zimowym niż w semestrze letnim.</w:t>
            </w:r>
            <w:r w:rsidR="00F7470F">
              <w:rPr>
                <w:rFonts w:asciiTheme="minorHAnsi" w:hAnsiTheme="minorHAnsi" w:cstheme="minorHAnsi"/>
                <w:sz w:val="20"/>
                <w:szCs w:val="20"/>
              </w:rPr>
              <w:t xml:space="preserve"> Taka sytuacja ma miejsce już kolejny rok  z rzędu. Wynika to zapewne z faktu, że w semestrze letnim czas wypełniania ankiety przypada </w:t>
            </w:r>
            <w:r w:rsidR="00D90B03">
              <w:rPr>
                <w:rFonts w:asciiTheme="minorHAnsi" w:hAnsiTheme="minorHAnsi" w:cstheme="minorHAnsi"/>
                <w:sz w:val="20"/>
                <w:szCs w:val="20"/>
              </w:rPr>
              <w:t>głównie</w:t>
            </w:r>
            <w:r w:rsidR="00F7470F">
              <w:rPr>
                <w:rFonts w:asciiTheme="minorHAnsi" w:hAnsiTheme="minorHAnsi" w:cstheme="minorHAnsi"/>
                <w:sz w:val="20"/>
                <w:szCs w:val="20"/>
              </w:rPr>
              <w:t xml:space="preserve"> na okres sesji oraz wakacji letnich. Trudniej też wówczas dotrzeć do studentów z akcjami promującymi udział w ankietyzacji.</w:t>
            </w:r>
          </w:p>
          <w:bookmarkEnd w:id="4"/>
          <w:p w14:paraId="7CAD719F" w14:textId="5C41254A" w:rsidR="00B43594" w:rsidRPr="005811D3" w:rsidRDefault="00B43594" w:rsidP="004116E9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Wprowadzono </w:t>
            </w: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korekty w harmonogramach</w:t>
            </w:r>
            <w:r w:rsidRPr="005811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odnośnie katalogu przedmiotów wsparcia. </w:t>
            </w:r>
          </w:p>
          <w:p w14:paraId="7A3F5E6F" w14:textId="7122177B" w:rsidR="00002656" w:rsidRPr="005811D3" w:rsidRDefault="00002656" w:rsidP="006C1248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Przygotowano dokumentację do oceny wewnętrznej na poziomie uczelnian</w:t>
            </w:r>
            <w:r w:rsidR="005B314E" w:rsidRPr="005811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ym</w:t>
            </w:r>
            <w:r w:rsidRPr="005811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5811D3">
              <w:rPr>
                <w:rFonts w:asciiTheme="minorHAnsi" w:hAnsiTheme="minorHAnsi" w:cstheme="minorHAnsi"/>
                <w:sz w:val="20"/>
                <w:szCs w:val="20"/>
              </w:rPr>
              <w:t>która odbyła się 18 kwietnia b.r.</w:t>
            </w:r>
            <w:r w:rsidR="00174DBE" w:rsidRPr="005811D3">
              <w:rPr>
                <w:rFonts w:asciiTheme="minorHAnsi" w:hAnsiTheme="minorHAnsi" w:cstheme="minorHAnsi"/>
                <w:sz w:val="20"/>
                <w:szCs w:val="20"/>
              </w:rPr>
              <w:t xml:space="preserve">, a także po </w:t>
            </w:r>
            <w:r w:rsidRPr="005811D3">
              <w:rPr>
                <w:rFonts w:asciiTheme="minorHAnsi" w:hAnsiTheme="minorHAnsi" w:cstheme="minorHAnsi"/>
                <w:sz w:val="20"/>
                <w:szCs w:val="20"/>
              </w:rPr>
              <w:t>otrzymaniu raportu</w:t>
            </w:r>
            <w:r w:rsidRPr="005811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wdrożono już prawie wszystkie zalecenia Zespołu Oceniającego.</w:t>
            </w:r>
          </w:p>
          <w:p w14:paraId="5D20B503" w14:textId="1BDDA757" w:rsidR="0094596B" w:rsidRPr="005811D3" w:rsidRDefault="0094596B" w:rsidP="009A19C7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Przeprowadzono analizę dobrych praktyk realizowanych przy kierunkach; </w:t>
            </w:r>
            <w:r w:rsidRPr="005811D3">
              <w:rPr>
                <w:rFonts w:asciiTheme="minorHAnsi" w:hAnsiTheme="minorHAnsi" w:cstheme="minorHAnsi"/>
                <w:sz w:val="20"/>
                <w:szCs w:val="20"/>
              </w:rPr>
              <w:t>komisja stwierdziła, że wszystkie kierunki realizują działania, w które aktywnie włączają się studenci.</w:t>
            </w:r>
          </w:p>
          <w:p w14:paraId="66FF2110" w14:textId="77777777" w:rsidR="00174DBE" w:rsidRPr="005811D3" w:rsidRDefault="00174DBE" w:rsidP="009A19C7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Organizacja Dnia Jakości Kształcenia na poziomie filii</w:t>
            </w:r>
            <w:r w:rsidRPr="005811D3">
              <w:rPr>
                <w:rFonts w:asciiTheme="minorHAnsi" w:hAnsiTheme="minorHAnsi" w:cstheme="minorHAnsi"/>
                <w:sz w:val="20"/>
                <w:szCs w:val="20"/>
              </w:rPr>
              <w:t xml:space="preserve"> (bogaty program wykładów, warsztatów i pokazów; udział studentów w organizacji wydarzenia);</w:t>
            </w:r>
          </w:p>
          <w:p w14:paraId="69ECE99E" w14:textId="77777777" w:rsidR="003233DD" w:rsidRDefault="003233DD" w:rsidP="009A19C7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E97E462" w14:textId="77777777" w:rsidR="00D94C92" w:rsidRDefault="00D94C92" w:rsidP="009A19C7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DFC55E0" w14:textId="77777777" w:rsidR="00D94C92" w:rsidRDefault="00D94C92" w:rsidP="009A19C7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5F1E3D3" w14:textId="77777777" w:rsidR="00D94C92" w:rsidRDefault="00D94C92" w:rsidP="009A19C7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D664B4E" w14:textId="77777777" w:rsidR="00D94C92" w:rsidRDefault="00D94C92" w:rsidP="009A19C7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4E20F46" w14:textId="77777777" w:rsidR="00D94C92" w:rsidRDefault="00D94C92" w:rsidP="009A19C7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3DEB852" w14:textId="77777777" w:rsidR="00D94C92" w:rsidRDefault="00D94C92" w:rsidP="009A19C7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9F931A8" w14:textId="77777777" w:rsidR="00D94C92" w:rsidRDefault="00D94C92" w:rsidP="009A19C7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B4671B5" w14:textId="77777777" w:rsidR="00D94C92" w:rsidRDefault="00D94C92" w:rsidP="009A19C7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2AE2323" w14:textId="77777777" w:rsidR="00D94C92" w:rsidRDefault="00D94C92" w:rsidP="009A19C7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6618C23" w14:textId="77777777" w:rsidR="00F7470F" w:rsidRDefault="00F7470F" w:rsidP="009A19C7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CDA3273" w14:textId="77777777" w:rsidR="00D94C92" w:rsidRDefault="00D94C92" w:rsidP="009A19C7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8404403" w14:textId="77777777" w:rsidR="00D94C92" w:rsidRDefault="00D94C92" w:rsidP="009A19C7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D47AEA7" w14:textId="77777777" w:rsidR="00D94C92" w:rsidRPr="005811D3" w:rsidRDefault="00D94C92" w:rsidP="009A19C7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A399D" w:rsidRPr="005811D3" w14:paraId="567C4F35" w14:textId="77777777" w:rsidTr="009344E1"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0DEF" w14:textId="77777777" w:rsidR="00CA399D" w:rsidRPr="005811D3" w:rsidRDefault="00CA399D" w:rsidP="00CA399D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  <w:r w:rsidRPr="005811D3">
              <w:rPr>
                <w:rFonts w:asciiTheme="minorHAnsi" w:hAnsiTheme="minorHAnsi" w:cstheme="minorHAnsi"/>
                <w:b/>
              </w:rPr>
              <w:lastRenderedPageBreak/>
              <w:t>Plan działań naprawczych z harmonogramem ich wdrażania</w:t>
            </w:r>
          </w:p>
        </w:tc>
      </w:tr>
      <w:tr w:rsidR="00CA399D" w:rsidRPr="005811D3" w14:paraId="08DCB0FA" w14:textId="77777777" w:rsidTr="009344E1">
        <w:tc>
          <w:tcPr>
            <w:tcW w:w="9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85BB" w14:textId="77777777" w:rsidR="00CA399D" w:rsidRPr="005811D3" w:rsidRDefault="00CA399D" w:rsidP="009344E1">
            <w:pPr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0"/>
                <w:szCs w:val="20"/>
              </w:rPr>
            </w:pPr>
          </w:p>
          <w:p w14:paraId="27D26333" w14:textId="4234C25B" w:rsidR="00CA399D" w:rsidRPr="005811D3" w:rsidRDefault="00CA399D" w:rsidP="009344E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u w:val="single"/>
              </w:rPr>
            </w:pPr>
            <w:r w:rsidRPr="005811D3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u w:val="single"/>
              </w:rPr>
              <w:t xml:space="preserve">Plan działań naprawczych na rok </w:t>
            </w:r>
            <w:r w:rsidR="00585459" w:rsidRPr="005811D3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u w:val="single"/>
              </w:rPr>
              <w:t>202</w:t>
            </w:r>
            <w:r w:rsidR="006C1248" w:rsidRPr="005811D3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u w:val="single"/>
              </w:rPr>
              <w:t>4</w:t>
            </w:r>
            <w:r w:rsidR="00585459" w:rsidRPr="005811D3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u w:val="single"/>
              </w:rPr>
              <w:t>/202</w:t>
            </w:r>
            <w:r w:rsidR="006C1248" w:rsidRPr="005811D3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u w:val="single"/>
              </w:rPr>
              <w:t>5</w:t>
            </w:r>
            <w:r w:rsidR="003872FE" w:rsidRPr="005811D3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r w:rsidR="003872FE" w:rsidRPr="005811D3">
              <w:rPr>
                <w:rFonts w:asciiTheme="minorHAnsi" w:hAnsiTheme="minorHAnsi" w:cstheme="minorHAnsi"/>
                <w:b/>
                <w:bCs/>
                <w:i/>
                <w:color w:val="808080"/>
                <w:sz w:val="20"/>
                <w:szCs w:val="20"/>
                <w:u w:val="single"/>
              </w:rPr>
              <w:t>(następny)</w:t>
            </w:r>
            <w:r w:rsidRPr="005811D3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u w:val="single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1843"/>
              <w:gridCol w:w="3297"/>
            </w:tblGrid>
            <w:tr w:rsidR="00CA399D" w:rsidRPr="005811D3" w14:paraId="2D23F9C2" w14:textId="77777777" w:rsidTr="009344E1">
              <w:tc>
                <w:tcPr>
                  <w:tcW w:w="4282" w:type="dxa"/>
                  <w:shd w:val="clear" w:color="auto" w:fill="auto"/>
                  <w:vAlign w:val="center"/>
                </w:tcPr>
                <w:p w14:paraId="4D347691" w14:textId="77777777" w:rsidR="00CA399D" w:rsidRPr="005811D3" w:rsidRDefault="00CA399D" w:rsidP="009344E1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5811D3">
                    <w:rPr>
                      <w:rFonts w:asciiTheme="minorHAnsi" w:hAnsiTheme="minorHAnsi" w:cstheme="minorHAnsi"/>
                      <w:b/>
                      <w:bCs/>
                      <w:i/>
                      <w:sz w:val="18"/>
                      <w:szCs w:val="18"/>
                    </w:rPr>
                    <w:t>Działanie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0B566C0" w14:textId="77777777" w:rsidR="00CA399D" w:rsidRPr="005811D3" w:rsidRDefault="00CA399D" w:rsidP="009344E1">
                  <w:pPr>
                    <w:ind w:left="-113" w:right="-113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5811D3">
                    <w:rPr>
                      <w:rFonts w:asciiTheme="minorHAnsi" w:hAnsiTheme="minorHAnsi" w:cstheme="minorHAnsi"/>
                      <w:b/>
                      <w:bCs/>
                      <w:i/>
                      <w:sz w:val="18"/>
                      <w:szCs w:val="18"/>
                    </w:rPr>
                    <w:t>Planowany termin realizacji</w:t>
                  </w:r>
                </w:p>
              </w:tc>
              <w:tc>
                <w:tcPr>
                  <w:tcW w:w="3297" w:type="dxa"/>
                  <w:shd w:val="clear" w:color="auto" w:fill="auto"/>
                  <w:vAlign w:val="center"/>
                </w:tcPr>
                <w:p w14:paraId="7A33B7ED" w14:textId="77777777" w:rsidR="00CA399D" w:rsidRPr="005811D3" w:rsidRDefault="00CA399D" w:rsidP="009344E1">
                  <w:pPr>
                    <w:ind w:left="-113" w:right="-113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8"/>
                      <w:szCs w:val="18"/>
                    </w:rPr>
                  </w:pPr>
                  <w:r w:rsidRPr="005811D3">
                    <w:rPr>
                      <w:rFonts w:asciiTheme="minorHAnsi" w:hAnsiTheme="minorHAnsi" w:cstheme="minorHAnsi"/>
                      <w:b/>
                      <w:bCs/>
                      <w:i/>
                      <w:sz w:val="18"/>
                      <w:szCs w:val="18"/>
                    </w:rPr>
                    <w:t>Oczekiwane efekty</w:t>
                  </w:r>
                </w:p>
              </w:tc>
            </w:tr>
            <w:tr w:rsidR="00CA399D" w:rsidRPr="005811D3" w14:paraId="575DC688" w14:textId="77777777" w:rsidTr="009344E1">
              <w:tc>
                <w:tcPr>
                  <w:tcW w:w="4282" w:type="dxa"/>
                  <w:shd w:val="clear" w:color="auto" w:fill="auto"/>
                  <w:vAlign w:val="center"/>
                </w:tcPr>
                <w:p w14:paraId="5831484A" w14:textId="57361D64" w:rsidR="00CA399D" w:rsidRPr="00890344" w:rsidRDefault="005304CB" w:rsidP="00CA399D">
                  <w:pPr>
                    <w:spacing w:before="60" w:after="6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89034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Dalsze wzm</w:t>
                  </w:r>
                  <w:r w:rsidR="00CC18FF" w:rsidRPr="0089034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</w:t>
                  </w:r>
                  <w:r w:rsidRPr="0089034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cni</w:t>
                  </w:r>
                  <w:r w:rsidR="00CC18FF" w:rsidRPr="0089034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</w:t>
                  </w:r>
                  <w:r w:rsidRPr="0089034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nie współpracy z interesariuszami zewnętrznymi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5AF1D4A" w14:textId="62D65466" w:rsidR="00CA399D" w:rsidRPr="00890344" w:rsidRDefault="00264571" w:rsidP="00544621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89034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Rok </w:t>
                  </w:r>
                  <w:proofErr w:type="spellStart"/>
                  <w:r w:rsidRPr="0089034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akad</w:t>
                  </w:r>
                  <w:proofErr w:type="spellEnd"/>
                  <w:r w:rsidRPr="0089034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. 202</w:t>
                  </w:r>
                  <w:r w:rsidR="00176142" w:rsidRPr="0089034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4</w:t>
                  </w:r>
                  <w:r w:rsidRPr="0089034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/202</w:t>
                  </w:r>
                  <w:r w:rsidR="00176142" w:rsidRPr="0089034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297" w:type="dxa"/>
                  <w:shd w:val="clear" w:color="auto" w:fill="auto"/>
                  <w:vAlign w:val="center"/>
                </w:tcPr>
                <w:p w14:paraId="5A039AFD" w14:textId="37FF9107" w:rsidR="007D620D" w:rsidRPr="00890344" w:rsidRDefault="00CC18FF" w:rsidP="005304CB">
                  <w:pPr>
                    <w:spacing w:before="60" w:after="6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89034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Pozyskanie nowych interesariuszy, podejmowanie działań we współpracy z </w:t>
                  </w:r>
                  <w:r w:rsidR="00890344" w:rsidRPr="0089034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interesariuszami</w:t>
                  </w:r>
                </w:p>
              </w:tc>
            </w:tr>
            <w:tr w:rsidR="00AA1674" w:rsidRPr="005811D3" w14:paraId="3290C2E0" w14:textId="77777777" w:rsidTr="009344E1">
              <w:tc>
                <w:tcPr>
                  <w:tcW w:w="4282" w:type="dxa"/>
                  <w:shd w:val="clear" w:color="auto" w:fill="auto"/>
                  <w:vAlign w:val="center"/>
                </w:tcPr>
                <w:p w14:paraId="43963B74" w14:textId="10861C39" w:rsidR="00AA1674" w:rsidRPr="00890344" w:rsidRDefault="00D335C8" w:rsidP="00CA399D">
                  <w:pPr>
                    <w:spacing w:before="60" w:after="6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89034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Wdrażanie zaleceń po ocenie wewnętrznej w Filii</w:t>
                  </w:r>
                  <w:r w:rsidR="005304CB" w:rsidRPr="0089034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oraz </w:t>
                  </w:r>
                  <w:r w:rsidR="00B72CE7" w:rsidRPr="0089034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bardziej rygorystyczna weryfikacja i dokumentacja ich wdrażania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105F5C4" w14:textId="062238CE" w:rsidR="00C052CC" w:rsidRPr="00890344" w:rsidRDefault="00264571" w:rsidP="00544621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89034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Rok </w:t>
                  </w:r>
                  <w:proofErr w:type="spellStart"/>
                  <w:r w:rsidRPr="0089034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akad</w:t>
                  </w:r>
                  <w:proofErr w:type="spellEnd"/>
                  <w:r w:rsidRPr="0089034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. </w:t>
                  </w:r>
                  <w:r w:rsidR="00EC6DDE" w:rsidRPr="0089034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202</w:t>
                  </w:r>
                  <w:r w:rsidR="00176142" w:rsidRPr="0089034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4</w:t>
                  </w:r>
                  <w:r w:rsidR="00EC6DDE" w:rsidRPr="0089034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/202</w:t>
                  </w:r>
                  <w:r w:rsidR="00176142" w:rsidRPr="0089034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297" w:type="dxa"/>
                  <w:shd w:val="clear" w:color="auto" w:fill="auto"/>
                  <w:vAlign w:val="center"/>
                </w:tcPr>
                <w:p w14:paraId="0CB2631B" w14:textId="15DB7C01" w:rsidR="00AA1674" w:rsidRPr="00890344" w:rsidRDefault="008C7DA8" w:rsidP="00C052CC">
                  <w:pPr>
                    <w:spacing w:before="60" w:after="6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89034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Dalsze doskonalenie dokumentacji i podnoszenie poziomu jakości kształcenia w Filii</w:t>
                  </w:r>
                </w:p>
              </w:tc>
            </w:tr>
            <w:tr w:rsidR="00B20174" w:rsidRPr="005811D3" w14:paraId="11834370" w14:textId="77777777" w:rsidTr="009344E1">
              <w:tc>
                <w:tcPr>
                  <w:tcW w:w="4282" w:type="dxa"/>
                  <w:shd w:val="clear" w:color="auto" w:fill="auto"/>
                  <w:vAlign w:val="center"/>
                </w:tcPr>
                <w:p w14:paraId="538BB0F5" w14:textId="2ABADB95" w:rsidR="00B20174" w:rsidRPr="004D4837" w:rsidRDefault="00930F67" w:rsidP="00CA399D">
                  <w:pPr>
                    <w:spacing w:before="60" w:after="6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4D483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Intensyfikacja działań mających</w:t>
                  </w:r>
                  <w:r w:rsidR="00B20174" w:rsidRPr="004D483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na celu podniesienie poziomu umiędzynarodowienia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1107AB3" w14:textId="2B113AE5" w:rsidR="00B20174" w:rsidRPr="004D4837" w:rsidRDefault="00791AE2" w:rsidP="00544621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4D483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Rok </w:t>
                  </w:r>
                  <w:proofErr w:type="spellStart"/>
                  <w:r w:rsidRPr="004D483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akad</w:t>
                  </w:r>
                  <w:proofErr w:type="spellEnd"/>
                  <w:r w:rsidRPr="004D483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. 202</w:t>
                  </w:r>
                  <w:r w:rsidR="00176142" w:rsidRPr="004D483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4</w:t>
                  </w:r>
                  <w:r w:rsidRPr="004D483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/202</w:t>
                  </w:r>
                  <w:r w:rsidR="00176142" w:rsidRPr="004D483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297" w:type="dxa"/>
                  <w:shd w:val="clear" w:color="auto" w:fill="auto"/>
                  <w:vAlign w:val="center"/>
                </w:tcPr>
                <w:p w14:paraId="603FFABE" w14:textId="3CD6CEB1" w:rsidR="00B20174" w:rsidRPr="004D4837" w:rsidRDefault="00F4625A" w:rsidP="00CA399D">
                  <w:pPr>
                    <w:spacing w:before="60" w:after="6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4D483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Zwiększenie liczby osób aplikujących o udział w programie Erasmus+</w:t>
                  </w:r>
                  <w:r w:rsidR="00665119" w:rsidRPr="004D483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, zainteresowanie pracowników aplikowaniem do programu, zwiększenie liczby pracowników biorących udział w konferencjach międzynarodowych.</w:t>
                  </w:r>
                </w:p>
              </w:tc>
            </w:tr>
          </w:tbl>
          <w:p w14:paraId="3C74D271" w14:textId="77777777" w:rsidR="00CA399D" w:rsidRPr="005811D3" w:rsidRDefault="00CA399D" w:rsidP="009344E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68BA0853" w14:textId="40CB1159" w:rsidR="00CA399D" w:rsidRPr="005811D3" w:rsidRDefault="00CA399D" w:rsidP="009344E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u w:val="single"/>
              </w:rPr>
            </w:pPr>
            <w:r w:rsidRPr="005811D3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u w:val="single"/>
              </w:rPr>
              <w:t xml:space="preserve">Działania naprawcze w roku </w:t>
            </w:r>
            <w:r w:rsidR="00585459" w:rsidRPr="005811D3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u w:val="single"/>
              </w:rPr>
              <w:t>20</w:t>
            </w:r>
            <w:r w:rsidR="00E321FB" w:rsidRPr="005811D3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DE2FBC" w:rsidRPr="005811D3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u w:val="single"/>
              </w:rPr>
              <w:t>3</w:t>
            </w:r>
            <w:r w:rsidR="00585459" w:rsidRPr="005811D3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u w:val="single"/>
              </w:rPr>
              <w:t>/202</w:t>
            </w:r>
            <w:r w:rsidR="00DE2FBC" w:rsidRPr="005811D3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u w:val="single"/>
              </w:rPr>
              <w:t>4</w:t>
            </w:r>
            <w:r w:rsidR="003872FE" w:rsidRPr="005811D3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r w:rsidR="003872FE" w:rsidRPr="005811D3">
              <w:rPr>
                <w:rFonts w:asciiTheme="minorHAnsi" w:hAnsiTheme="minorHAnsi" w:cstheme="minorHAnsi"/>
                <w:b/>
                <w:bCs/>
                <w:i/>
                <w:color w:val="808080"/>
                <w:sz w:val="20"/>
                <w:szCs w:val="20"/>
                <w:u w:val="single"/>
              </w:rPr>
              <w:t>(sprawozdawczym)</w:t>
            </w:r>
            <w:r w:rsidR="003872FE" w:rsidRPr="005811D3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u w:val="single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1843"/>
              <w:gridCol w:w="3297"/>
            </w:tblGrid>
            <w:tr w:rsidR="001711F9" w:rsidRPr="005811D3" w14:paraId="2DBB58F0" w14:textId="77777777" w:rsidTr="003B2D87">
              <w:tc>
                <w:tcPr>
                  <w:tcW w:w="4282" w:type="dxa"/>
                  <w:shd w:val="clear" w:color="auto" w:fill="auto"/>
                  <w:vAlign w:val="center"/>
                </w:tcPr>
                <w:p w14:paraId="116DDFDA" w14:textId="77777777" w:rsidR="001711F9" w:rsidRPr="005811D3" w:rsidRDefault="001711F9" w:rsidP="001711F9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5811D3">
                    <w:rPr>
                      <w:rFonts w:asciiTheme="minorHAnsi" w:hAnsiTheme="minorHAnsi" w:cstheme="minorHAnsi"/>
                      <w:b/>
                      <w:bCs/>
                      <w:i/>
                      <w:sz w:val="18"/>
                      <w:szCs w:val="18"/>
                    </w:rPr>
                    <w:t>Działanie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F3167DA" w14:textId="77777777" w:rsidR="001711F9" w:rsidRPr="005811D3" w:rsidRDefault="001711F9" w:rsidP="001711F9">
                  <w:pPr>
                    <w:ind w:left="-113" w:right="-113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5811D3">
                    <w:rPr>
                      <w:rFonts w:asciiTheme="minorHAnsi" w:hAnsiTheme="minorHAnsi" w:cstheme="minorHAnsi"/>
                      <w:b/>
                      <w:bCs/>
                      <w:i/>
                      <w:sz w:val="18"/>
                      <w:szCs w:val="18"/>
                    </w:rPr>
                    <w:t>Planowany termin realizacji</w:t>
                  </w:r>
                </w:p>
              </w:tc>
              <w:tc>
                <w:tcPr>
                  <w:tcW w:w="3297" w:type="dxa"/>
                  <w:shd w:val="clear" w:color="auto" w:fill="auto"/>
                  <w:vAlign w:val="center"/>
                </w:tcPr>
                <w:p w14:paraId="4ED278EF" w14:textId="77777777" w:rsidR="001711F9" w:rsidRPr="005811D3" w:rsidRDefault="001711F9" w:rsidP="001711F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8"/>
                      <w:szCs w:val="18"/>
                    </w:rPr>
                  </w:pPr>
                  <w:r w:rsidRPr="005811D3">
                    <w:rPr>
                      <w:rFonts w:asciiTheme="minorHAnsi" w:hAnsiTheme="minorHAnsi" w:cstheme="minorHAnsi"/>
                      <w:b/>
                      <w:bCs/>
                      <w:i/>
                      <w:sz w:val="18"/>
                      <w:szCs w:val="18"/>
                    </w:rPr>
                    <w:t>Uzyskane efekty</w:t>
                  </w:r>
                </w:p>
                <w:p w14:paraId="6569FA7C" w14:textId="7B7639F8" w:rsidR="001711F9" w:rsidRPr="005811D3" w:rsidRDefault="001711F9" w:rsidP="001711F9">
                  <w:pPr>
                    <w:ind w:left="-113" w:right="-113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8"/>
                      <w:szCs w:val="18"/>
                    </w:rPr>
                  </w:pPr>
                  <w:r w:rsidRPr="005811D3">
                    <w:rPr>
                      <w:rFonts w:asciiTheme="minorHAnsi" w:hAnsiTheme="minorHAnsi" w:cstheme="minorHAnsi"/>
                      <w:b/>
                      <w:bCs/>
                      <w:i/>
                      <w:sz w:val="18"/>
                      <w:szCs w:val="18"/>
                    </w:rPr>
                    <w:t>(powód niewdrożenia)</w:t>
                  </w:r>
                </w:p>
              </w:tc>
            </w:tr>
            <w:tr w:rsidR="0029626D" w:rsidRPr="005811D3" w14:paraId="3CE1A020" w14:textId="77777777" w:rsidTr="003B2D87">
              <w:tc>
                <w:tcPr>
                  <w:tcW w:w="4282" w:type="dxa"/>
                  <w:shd w:val="clear" w:color="auto" w:fill="auto"/>
                  <w:vAlign w:val="center"/>
                </w:tcPr>
                <w:p w14:paraId="074FCCA0" w14:textId="4DBEA2A6" w:rsidR="0029626D" w:rsidRPr="005811D3" w:rsidRDefault="0029626D" w:rsidP="0029626D">
                  <w:pPr>
                    <w:spacing w:before="60" w:after="6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581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Dalsze działania w celu popularyzacji ankietyzacji wśród studentów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B69DD02" w14:textId="2572AA53" w:rsidR="0029626D" w:rsidRPr="005811D3" w:rsidRDefault="0029626D" w:rsidP="0029626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581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Rok </w:t>
                  </w:r>
                  <w:proofErr w:type="spellStart"/>
                  <w:r w:rsidRPr="00581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akad</w:t>
                  </w:r>
                  <w:proofErr w:type="spellEnd"/>
                  <w:r w:rsidRPr="00581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. 2023/2024</w:t>
                  </w:r>
                </w:p>
              </w:tc>
              <w:tc>
                <w:tcPr>
                  <w:tcW w:w="3297" w:type="dxa"/>
                  <w:shd w:val="clear" w:color="auto" w:fill="auto"/>
                  <w:vAlign w:val="center"/>
                </w:tcPr>
                <w:p w14:paraId="72DDAA78" w14:textId="793AA166" w:rsidR="0029626D" w:rsidRPr="005811D3" w:rsidRDefault="0029626D" w:rsidP="0029626D">
                  <w:pPr>
                    <w:spacing w:before="60" w:after="6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581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Udało się nieznacznie zwiększyć liczbę osób biorących udział w ankietyzac</w:t>
                  </w:r>
                  <w:r w:rsidRPr="00E77655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ji</w:t>
                  </w:r>
                  <w:r w:rsidR="00E77655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w semestrze zimowym Niestety w semestrze letnim frekwencja była znacznie poniżej oczekiwań.</w:t>
                  </w:r>
                </w:p>
              </w:tc>
            </w:tr>
            <w:tr w:rsidR="0029626D" w:rsidRPr="005811D3" w14:paraId="29FC8054" w14:textId="77777777" w:rsidTr="003B2D87">
              <w:tc>
                <w:tcPr>
                  <w:tcW w:w="4282" w:type="dxa"/>
                  <w:shd w:val="clear" w:color="auto" w:fill="auto"/>
                  <w:vAlign w:val="center"/>
                </w:tcPr>
                <w:p w14:paraId="36C8C012" w14:textId="162F9E90" w:rsidR="0029626D" w:rsidRPr="005811D3" w:rsidRDefault="0029626D" w:rsidP="0029626D">
                  <w:pPr>
                    <w:spacing w:before="60" w:after="6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581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Wdrażanie zaleceń po ocenie wewnętrznej w Filii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E7D4137" w14:textId="3BE2C458" w:rsidR="0029626D" w:rsidRPr="005811D3" w:rsidRDefault="0029626D" w:rsidP="0029626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581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Rok </w:t>
                  </w:r>
                  <w:proofErr w:type="spellStart"/>
                  <w:r w:rsidRPr="00581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akad</w:t>
                  </w:r>
                  <w:proofErr w:type="spellEnd"/>
                  <w:r w:rsidRPr="00581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. 2023/2024</w:t>
                  </w:r>
                </w:p>
              </w:tc>
              <w:tc>
                <w:tcPr>
                  <w:tcW w:w="3297" w:type="dxa"/>
                  <w:shd w:val="clear" w:color="auto" w:fill="auto"/>
                  <w:vAlign w:val="center"/>
                </w:tcPr>
                <w:p w14:paraId="363BAA2E" w14:textId="2242E664" w:rsidR="0029626D" w:rsidRPr="005811D3" w:rsidRDefault="0029626D" w:rsidP="0029626D">
                  <w:pPr>
                    <w:spacing w:before="60" w:after="6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581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Nie wszystkie zalecenia wdrożono poprawnie, ale po kolejnej ocenie na poziomie uczelnianym wykazane braki niezwłocznie uzupełniono.</w:t>
                  </w:r>
                </w:p>
              </w:tc>
            </w:tr>
            <w:tr w:rsidR="0029626D" w:rsidRPr="005811D3" w14:paraId="7B6F76B3" w14:textId="77777777" w:rsidTr="003B2D87">
              <w:tc>
                <w:tcPr>
                  <w:tcW w:w="4282" w:type="dxa"/>
                  <w:shd w:val="clear" w:color="auto" w:fill="auto"/>
                  <w:vAlign w:val="center"/>
                </w:tcPr>
                <w:p w14:paraId="56D3D348" w14:textId="799DA390" w:rsidR="0029626D" w:rsidRPr="005811D3" w:rsidRDefault="0029626D" w:rsidP="0029626D">
                  <w:pPr>
                    <w:spacing w:before="60" w:after="6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581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Opracowanie ankiety mającej na celu wyjaśnicie braku zainteresowania studentów wyjazdami w ramach programu Erasmus+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75D56E9" w14:textId="2F98BD94" w:rsidR="0029626D" w:rsidRPr="005811D3" w:rsidRDefault="0029626D" w:rsidP="0029626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581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Rok </w:t>
                  </w:r>
                  <w:proofErr w:type="spellStart"/>
                  <w:r w:rsidRPr="00581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akad</w:t>
                  </w:r>
                  <w:proofErr w:type="spellEnd"/>
                  <w:r w:rsidRPr="00581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. 2023/2024</w:t>
                  </w:r>
                </w:p>
              </w:tc>
              <w:tc>
                <w:tcPr>
                  <w:tcW w:w="3297" w:type="dxa"/>
                  <w:shd w:val="clear" w:color="auto" w:fill="auto"/>
                  <w:vAlign w:val="center"/>
                </w:tcPr>
                <w:p w14:paraId="72DBF5BE" w14:textId="4EB41B80" w:rsidR="0029626D" w:rsidRPr="005811D3" w:rsidRDefault="0029626D" w:rsidP="0029626D">
                  <w:pPr>
                    <w:spacing w:before="60" w:after="6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581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Ankieta została opracowana i przeprowadzona. Udało się zwiększyć liczb</w:t>
                  </w:r>
                  <w:r w:rsidR="0089034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ę</w:t>
                  </w:r>
                  <w:r w:rsidRPr="00581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osób aplikujących o udział w programie Erasmus+, nie było to jednak zależne od przeprowadzenia ankiety, która została przeprowadzona już po aplikacji studentów do programu. Jej wyniki zostaną jednak wykorzystane w kolejnym roku akademickim</w:t>
                  </w:r>
                  <w:r w:rsidR="00E77655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, m. in. </w:t>
                  </w:r>
                  <w:r w:rsidR="00890344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w</w:t>
                  </w:r>
                  <w:r w:rsidR="00E77655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planowaniu działań związanych z popularyzacją programu Erasmus+ wśród studentów</w:t>
                  </w:r>
                  <w:r w:rsidRPr="00581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29626D" w:rsidRPr="005811D3" w14:paraId="4B862D78" w14:textId="77777777" w:rsidTr="003B2D87">
              <w:tc>
                <w:tcPr>
                  <w:tcW w:w="4282" w:type="dxa"/>
                  <w:shd w:val="clear" w:color="auto" w:fill="auto"/>
                  <w:vAlign w:val="center"/>
                </w:tcPr>
                <w:p w14:paraId="7E29BAD1" w14:textId="4F62BBB9" w:rsidR="0029626D" w:rsidRPr="005811D3" w:rsidRDefault="0029626D" w:rsidP="0029626D">
                  <w:pPr>
                    <w:spacing w:before="60" w:after="6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581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Dalsze działania mające na celu podniesienie poziomu umiędzynarodowienia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1F0E5A1" w14:textId="19C8795B" w:rsidR="0029626D" w:rsidRPr="005811D3" w:rsidRDefault="0029626D" w:rsidP="0029626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581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Rok </w:t>
                  </w:r>
                  <w:proofErr w:type="spellStart"/>
                  <w:r w:rsidRPr="00581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akad</w:t>
                  </w:r>
                  <w:proofErr w:type="spellEnd"/>
                  <w:r w:rsidRPr="00581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. 2023/2024</w:t>
                  </w:r>
                </w:p>
              </w:tc>
              <w:tc>
                <w:tcPr>
                  <w:tcW w:w="3297" w:type="dxa"/>
                  <w:shd w:val="clear" w:color="auto" w:fill="auto"/>
                  <w:vAlign w:val="center"/>
                </w:tcPr>
                <w:p w14:paraId="18503DB0" w14:textId="2AFD321D" w:rsidR="0029626D" w:rsidRPr="005811D3" w:rsidRDefault="0029626D" w:rsidP="0029626D">
                  <w:pPr>
                    <w:spacing w:before="60" w:after="6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581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Udało się nieznacznie zwiększyć liczbę osób aplikujących do programu Erasmus+ – dwóch studentów filologii angielskiej spędzi semestr zimowy </w:t>
                  </w:r>
                  <w:r w:rsidR="009D60D6" w:rsidRPr="00581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studiując </w:t>
                  </w:r>
                  <w:r w:rsidRPr="005811D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w bułgarskiej uczelni.</w:t>
                  </w:r>
                </w:p>
                <w:p w14:paraId="31A61526" w14:textId="41EC10E0" w:rsidR="0029626D" w:rsidRPr="005811D3" w:rsidRDefault="0029626D" w:rsidP="0029626D">
                  <w:pPr>
                    <w:spacing w:before="60" w:after="6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900A592" w14:textId="77777777" w:rsidR="00CA399D" w:rsidRPr="005811D3" w:rsidRDefault="00CA399D" w:rsidP="009344E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57E1F9E" w14:textId="77777777" w:rsidR="00CA399D" w:rsidRPr="005811D3" w:rsidRDefault="00CA399D">
      <w:pPr>
        <w:spacing w:line="360" w:lineRule="auto"/>
        <w:rPr>
          <w:rFonts w:asciiTheme="minorHAnsi" w:hAnsiTheme="minorHAnsi" w:cstheme="minorHAnsi"/>
        </w:rPr>
      </w:pPr>
    </w:p>
    <w:tbl>
      <w:tblPr>
        <w:tblW w:w="9680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3119"/>
        <w:gridCol w:w="6561"/>
      </w:tblGrid>
      <w:tr w:rsidR="00B234E8" w:rsidRPr="005811D3" w14:paraId="7CA6516F" w14:textId="77777777" w:rsidTr="00574B68">
        <w:trPr>
          <w:trHeight w:val="92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FBE1A" w14:textId="77777777" w:rsidR="00B234E8" w:rsidRPr="005811D3" w:rsidRDefault="00B847CD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Sprawozdanie</w:t>
            </w:r>
            <w:r w:rsidR="00B234E8"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sporządził/a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7CACC7" w14:textId="77777777" w:rsidR="0051555A" w:rsidRPr="005811D3" w:rsidRDefault="0051555A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FD5D7B" w14:textId="77777777" w:rsidR="0051555A" w:rsidRPr="005811D3" w:rsidRDefault="0051555A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F81605" w14:textId="77777777" w:rsidR="0051555A" w:rsidRPr="005811D3" w:rsidRDefault="0051555A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718BAB" w14:textId="77777777" w:rsidR="00B234E8" w:rsidRPr="005811D3" w:rsidRDefault="00B234E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……………………………………………………..</w:t>
            </w:r>
          </w:p>
          <w:p w14:paraId="1C517947" w14:textId="365BC547" w:rsidR="00B234E8" w:rsidRPr="005811D3" w:rsidRDefault="00B234E8" w:rsidP="0061188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i/>
                <w:sz w:val="20"/>
                <w:szCs w:val="20"/>
              </w:rPr>
              <w:t>(data, podpis</w:t>
            </w:r>
            <w:r w:rsidR="0031037A" w:rsidRPr="005811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Przewodniczące</w:t>
            </w:r>
            <w:r w:rsidR="00DE27CD" w:rsidRPr="005811D3">
              <w:rPr>
                <w:rFonts w:asciiTheme="minorHAnsi" w:hAnsiTheme="minorHAnsi" w:cstheme="minorHAnsi"/>
                <w:i/>
                <w:sz w:val="20"/>
                <w:szCs w:val="20"/>
              </w:rPr>
              <w:t>j</w:t>
            </w:r>
            <w:r w:rsidR="00AC770E" w:rsidRPr="005811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346753" w:rsidRPr="005811D3">
              <w:rPr>
                <w:rFonts w:asciiTheme="minorHAnsi" w:hAnsiTheme="minorHAnsi" w:cstheme="minorHAnsi"/>
                <w:i/>
                <w:sz w:val="20"/>
                <w:szCs w:val="20"/>
              </w:rPr>
              <w:t>Komisji ds. Kształcenia w Filii</w:t>
            </w:r>
            <w:r w:rsidRPr="005811D3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  <w:tr w:rsidR="00B847CD" w:rsidRPr="005811D3" w14:paraId="1B5852C4" w14:textId="77777777" w:rsidTr="00574B68">
        <w:trPr>
          <w:trHeight w:val="928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8F1BD1" w14:textId="43327009" w:rsidR="00B847CD" w:rsidRPr="005811D3" w:rsidRDefault="00D330FA" w:rsidP="00BC6E3C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Sprawozdanie </w:t>
            </w:r>
            <w:r w:rsidR="002E5B9B"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przedstawiono </w:t>
            </w:r>
            <w:r w:rsidR="00FE631E"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B847CD"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Radzie </w:t>
            </w:r>
            <w:r w:rsidR="0061188C"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Filii</w:t>
            </w:r>
          </w:p>
          <w:p w14:paraId="742AEA94" w14:textId="6A5E1F59" w:rsidR="00BC6E3C" w:rsidRPr="005811D3" w:rsidRDefault="00BC6E3C" w:rsidP="00BC6E3C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dniu </w:t>
            </w:r>
            <w:r w:rsidR="00845169"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210A57"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845169"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.09.202</w:t>
            </w:r>
            <w:r w:rsidR="00210A57"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6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761ED0" w14:textId="77777777" w:rsidR="0051555A" w:rsidRPr="005811D3" w:rsidRDefault="0051555A" w:rsidP="00B847CD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88CC88" w14:textId="77777777" w:rsidR="0051555A" w:rsidRPr="005811D3" w:rsidRDefault="0051555A" w:rsidP="00B847CD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1B555F" w14:textId="77777777" w:rsidR="0051555A" w:rsidRPr="005811D3" w:rsidRDefault="0051555A" w:rsidP="00B847CD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A700CB" w14:textId="77777777" w:rsidR="00B847CD" w:rsidRPr="005811D3" w:rsidRDefault="00B847CD" w:rsidP="00B847CD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……………………………………………………..</w:t>
            </w:r>
          </w:p>
          <w:p w14:paraId="1ED63913" w14:textId="77777777" w:rsidR="00B847CD" w:rsidRPr="005811D3" w:rsidRDefault="00B847CD" w:rsidP="00B847CD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i/>
                <w:sz w:val="20"/>
                <w:szCs w:val="20"/>
              </w:rPr>
              <w:t>(data, podpis Dziekana)</w:t>
            </w:r>
          </w:p>
        </w:tc>
      </w:tr>
      <w:tr w:rsidR="00DE4A65" w:rsidRPr="005811D3" w14:paraId="5AC35EB3" w14:textId="77777777" w:rsidTr="00574B68">
        <w:trPr>
          <w:trHeight w:val="131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6BD9E9" w14:textId="77777777" w:rsidR="00B234E8" w:rsidRPr="005811D3" w:rsidRDefault="00B847CD" w:rsidP="0031037A">
            <w:pPr>
              <w:snapToGrid w:val="0"/>
              <w:spacing w:line="360" w:lineRule="auto"/>
              <w:ind w:right="-12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Sprawozdanie </w:t>
            </w:r>
            <w:r w:rsidR="00B234E8"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przyj</w:t>
            </w:r>
            <w:r w:rsidR="0031037A" w:rsidRPr="005811D3">
              <w:rPr>
                <w:rFonts w:asciiTheme="minorHAnsi" w:hAnsiTheme="minorHAnsi" w:cstheme="minorHAnsi"/>
                <w:b/>
                <w:sz w:val="20"/>
                <w:szCs w:val="20"/>
              </w:rPr>
              <w:t>ął/przyjęła</w:t>
            </w:r>
          </w:p>
        </w:tc>
        <w:tc>
          <w:tcPr>
            <w:tcW w:w="6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9375AC" w14:textId="77777777" w:rsidR="00B847CD" w:rsidRPr="005811D3" w:rsidRDefault="00B847CD" w:rsidP="00B847C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3E15F989" w14:textId="77777777" w:rsidR="00B847CD" w:rsidRPr="005811D3" w:rsidRDefault="00B847CD" w:rsidP="00B847C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6C12E37E" w14:textId="77777777" w:rsidR="00B847CD" w:rsidRPr="005811D3" w:rsidRDefault="00B847CD" w:rsidP="00B847C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811D3">
              <w:rPr>
                <w:rFonts w:asciiTheme="minorHAnsi" w:hAnsiTheme="minorHAnsi" w:cstheme="minorHAnsi"/>
              </w:rPr>
              <w:t>……………………………………………………..</w:t>
            </w:r>
          </w:p>
          <w:p w14:paraId="2BAE5A1A" w14:textId="77777777" w:rsidR="00B234E8" w:rsidRPr="005811D3" w:rsidRDefault="00B847CD" w:rsidP="0051555A">
            <w:pPr>
              <w:jc w:val="center"/>
              <w:rPr>
                <w:rFonts w:asciiTheme="minorHAnsi" w:hAnsiTheme="minorHAnsi" w:cstheme="minorHAnsi"/>
              </w:rPr>
            </w:pPr>
            <w:r w:rsidRPr="005811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(data, podpis </w:t>
            </w:r>
            <w:r w:rsidR="0051555A" w:rsidRPr="005811D3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AC770E" w:rsidRPr="005811D3">
              <w:rPr>
                <w:rFonts w:asciiTheme="minorHAnsi" w:hAnsiTheme="minorHAnsi" w:cstheme="minorHAnsi"/>
                <w:i/>
                <w:sz w:val="20"/>
                <w:szCs w:val="20"/>
              </w:rPr>
              <w:t>rzewodniczące</w:t>
            </w:r>
            <w:r w:rsidR="00DE27CD" w:rsidRPr="005811D3">
              <w:rPr>
                <w:rFonts w:asciiTheme="minorHAnsi" w:hAnsiTheme="minorHAnsi" w:cstheme="minorHAnsi"/>
                <w:i/>
                <w:sz w:val="20"/>
                <w:szCs w:val="20"/>
              </w:rPr>
              <w:t>j/</w:t>
            </w:r>
            <w:r w:rsidR="00AC770E" w:rsidRPr="005811D3">
              <w:rPr>
                <w:rFonts w:asciiTheme="minorHAnsi" w:hAnsiTheme="minorHAnsi" w:cstheme="minorHAnsi"/>
                <w:i/>
                <w:sz w:val="20"/>
                <w:szCs w:val="20"/>
              </w:rPr>
              <w:t>go</w:t>
            </w:r>
            <w:r w:rsidR="0051555A" w:rsidRPr="005811D3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>U</w:t>
            </w:r>
            <w:r w:rsidR="002E5B9B" w:rsidRPr="005811D3">
              <w:rPr>
                <w:rFonts w:asciiTheme="minorHAnsi" w:hAnsiTheme="minorHAnsi" w:cstheme="minorHAnsi"/>
                <w:i/>
                <w:sz w:val="20"/>
                <w:szCs w:val="20"/>
              </w:rPr>
              <w:t>niwersyteckiej</w:t>
            </w:r>
            <w:r w:rsidR="0051555A" w:rsidRPr="005811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</w:t>
            </w:r>
            <w:r w:rsidR="002E5B9B" w:rsidRPr="005811D3">
              <w:rPr>
                <w:rFonts w:asciiTheme="minorHAnsi" w:hAnsiTheme="minorHAnsi" w:cstheme="minorHAnsi"/>
                <w:i/>
                <w:sz w:val="20"/>
                <w:szCs w:val="20"/>
              </w:rPr>
              <w:t>omisji ds.</w:t>
            </w:r>
            <w:r w:rsidRPr="005811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51555A" w:rsidRPr="005811D3">
              <w:rPr>
                <w:rFonts w:asciiTheme="minorHAnsi" w:hAnsiTheme="minorHAnsi" w:cstheme="minorHAnsi"/>
                <w:i/>
                <w:sz w:val="20"/>
                <w:szCs w:val="20"/>
              </w:rPr>
              <w:t>K</w:t>
            </w:r>
            <w:r w:rsidRPr="005811D3">
              <w:rPr>
                <w:rFonts w:asciiTheme="minorHAnsi" w:hAnsiTheme="minorHAnsi" w:cstheme="minorHAnsi"/>
                <w:i/>
                <w:sz w:val="20"/>
                <w:szCs w:val="20"/>
              </w:rPr>
              <w:t>ształcenia)</w:t>
            </w:r>
          </w:p>
        </w:tc>
      </w:tr>
    </w:tbl>
    <w:p w14:paraId="1414EF44" w14:textId="77777777" w:rsidR="00B234E8" w:rsidRPr="005811D3" w:rsidRDefault="00B234E8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234E8" w:rsidRPr="005811D3" w:rsidSect="008059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418" w:bottom="1247" w:left="1418" w:header="53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9E0FC" w14:textId="77777777" w:rsidR="00794327" w:rsidRDefault="00794327">
      <w:r>
        <w:separator/>
      </w:r>
    </w:p>
  </w:endnote>
  <w:endnote w:type="continuationSeparator" w:id="0">
    <w:p w14:paraId="4DEC40DC" w14:textId="77777777" w:rsidR="00794327" w:rsidRDefault="0079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50FB5" w14:textId="77777777" w:rsidR="00573DA9" w:rsidRDefault="00573D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EC252" w14:textId="77777777" w:rsidR="00CD7D2F" w:rsidRDefault="00CD7D2F">
    <w:pPr>
      <w:pStyle w:val="Stopka"/>
      <w:jc w:val="center"/>
      <w:rPr>
        <w:b/>
        <w:sz w:val="20"/>
        <w:szCs w:val="20"/>
      </w:rPr>
    </w:pPr>
  </w:p>
  <w:p w14:paraId="7681C38A" w14:textId="77777777" w:rsidR="00CD7D2F" w:rsidRDefault="00CD7D2F">
    <w:pPr>
      <w:pStyle w:val="Stopka"/>
      <w:ind w:left="1134"/>
      <w:jc w:val="center"/>
      <w:rPr>
        <w:i/>
        <w:sz w:val="20"/>
        <w:szCs w:val="20"/>
      </w:rPr>
    </w:pPr>
    <w:r>
      <w:rPr>
        <w:sz w:val="20"/>
        <w:szCs w:val="20"/>
      </w:rPr>
      <w:tab/>
    </w:r>
  </w:p>
  <w:p w14:paraId="6B3779B8" w14:textId="77777777" w:rsidR="00CD7D2F" w:rsidRDefault="00CD7D2F">
    <w:pPr>
      <w:pStyle w:val="Stopka"/>
      <w:tabs>
        <w:tab w:val="left" w:pos="375"/>
      </w:tabs>
      <w:rPr>
        <w:sz w:val="20"/>
        <w:szCs w:val="20"/>
      </w:rPr>
    </w:pPr>
  </w:p>
  <w:p w14:paraId="4A4579F6" w14:textId="77777777" w:rsidR="00CD7D2F" w:rsidRDefault="00CD7D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35B54" w14:textId="77777777" w:rsidR="00573DA9" w:rsidRDefault="00573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09627" w14:textId="77777777" w:rsidR="00794327" w:rsidRDefault="00794327">
      <w:r>
        <w:separator/>
      </w:r>
    </w:p>
  </w:footnote>
  <w:footnote w:type="continuationSeparator" w:id="0">
    <w:p w14:paraId="47EEA22B" w14:textId="77777777" w:rsidR="00794327" w:rsidRDefault="00794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D6A4A" w14:textId="77777777" w:rsidR="00573DA9" w:rsidRDefault="00573D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43209" w14:textId="77777777" w:rsidR="00CD7D2F" w:rsidRPr="006160FA" w:rsidRDefault="003E4FB8" w:rsidP="00574B68">
    <w:pPr>
      <w:pStyle w:val="Nagwek"/>
      <w:jc w:val="right"/>
      <w:rPr>
        <w:i/>
        <w:sz w:val="20"/>
        <w:szCs w:val="20"/>
      </w:rPr>
    </w:pPr>
    <w:r>
      <w:rPr>
        <w:i/>
        <w:noProof/>
        <w:sz w:val="20"/>
        <w:szCs w:val="20"/>
        <w:lang w:eastAsia="pl-PL"/>
      </w:rPr>
      <w:drawing>
        <wp:anchor distT="0" distB="0" distL="114935" distR="114935" simplePos="0" relativeHeight="251657728" behindDoc="1" locked="0" layoutInCell="1" allowOverlap="1" wp14:anchorId="3431CD01" wp14:editId="75925EE6">
          <wp:simplePos x="0" y="0"/>
          <wp:positionH relativeFrom="column">
            <wp:posOffset>-171450</wp:posOffset>
          </wp:positionH>
          <wp:positionV relativeFrom="paragraph">
            <wp:posOffset>16510</wp:posOffset>
          </wp:positionV>
          <wp:extent cx="640080" cy="474345"/>
          <wp:effectExtent l="19050" t="0" r="762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4743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7D2F" w:rsidRPr="00574B68">
      <w:rPr>
        <w:i/>
        <w:sz w:val="20"/>
        <w:szCs w:val="20"/>
      </w:rPr>
      <w:t xml:space="preserve">                                                         </w:t>
    </w:r>
    <w:r w:rsidR="00CD7D2F">
      <w:rPr>
        <w:i/>
        <w:sz w:val="20"/>
        <w:szCs w:val="20"/>
      </w:rPr>
      <w:t>Załącznik nr</w:t>
    </w:r>
    <w:r w:rsidR="00CD7D2F" w:rsidRPr="006160FA">
      <w:rPr>
        <w:i/>
        <w:sz w:val="20"/>
        <w:szCs w:val="20"/>
      </w:rPr>
      <w:t xml:space="preserve"> 1 do Zarządzenia </w:t>
    </w:r>
    <w:r w:rsidR="00573DA9">
      <w:rPr>
        <w:i/>
        <w:sz w:val="20"/>
        <w:szCs w:val="20"/>
      </w:rPr>
      <w:t>Nr</w:t>
    </w:r>
    <w:r w:rsidR="00CD7D2F">
      <w:rPr>
        <w:i/>
        <w:sz w:val="20"/>
        <w:szCs w:val="20"/>
      </w:rPr>
      <w:t xml:space="preserve"> </w:t>
    </w:r>
    <w:r w:rsidR="00573DA9">
      <w:rPr>
        <w:i/>
        <w:sz w:val="20"/>
        <w:szCs w:val="20"/>
      </w:rPr>
      <w:t>113</w:t>
    </w:r>
    <w:r w:rsidR="00CD7D2F" w:rsidRPr="006160FA">
      <w:rPr>
        <w:i/>
        <w:sz w:val="20"/>
        <w:szCs w:val="20"/>
      </w:rPr>
      <w:t>/2019</w:t>
    </w:r>
  </w:p>
  <w:p w14:paraId="1F504EBA" w14:textId="77777777" w:rsidR="00CD7D2F" w:rsidRDefault="00CD7D2F" w:rsidP="00057659">
    <w:pPr>
      <w:pStyle w:val="Nagwek"/>
      <w:jc w:val="center"/>
    </w:pPr>
  </w:p>
  <w:p w14:paraId="66E8E5AC" w14:textId="77777777" w:rsidR="00CD7D2F" w:rsidRDefault="00CD7D2F" w:rsidP="00057659">
    <w:pPr>
      <w:pStyle w:val="Nagwek"/>
      <w:jc w:val="center"/>
    </w:pPr>
    <w:r>
      <w:t>Wewnętrzny System Zapewniania Jakości Kształcenia</w:t>
    </w:r>
  </w:p>
  <w:p w14:paraId="0FBFE8DB" w14:textId="77777777" w:rsidR="00CD7D2F" w:rsidRDefault="00CD7D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E56B9" w14:textId="77777777" w:rsidR="00573DA9" w:rsidRDefault="00573D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0"/>
      <w:numFmt w:val="decimal"/>
      <w:lvlText w:val="%1.%2"/>
      <w:lvlJc w:val="left"/>
      <w:pPr>
        <w:tabs>
          <w:tab w:val="num" w:pos="427"/>
        </w:tabs>
        <w:ind w:left="427" w:hanging="360"/>
      </w:pPr>
    </w:lvl>
    <w:lvl w:ilvl="2">
      <w:start w:val="1"/>
      <w:numFmt w:val="decimal"/>
      <w:lvlText w:val="%1.%2.%3."/>
      <w:lvlJc w:val="left"/>
      <w:pPr>
        <w:tabs>
          <w:tab w:val="num" w:pos="494"/>
        </w:tabs>
        <w:ind w:left="494" w:hanging="360"/>
      </w:pPr>
    </w:lvl>
    <w:lvl w:ilvl="3">
      <w:start w:val="1"/>
      <w:numFmt w:val="decimal"/>
      <w:lvlText w:val="%1.%2.%3.%4."/>
      <w:lvlJc w:val="left"/>
      <w:pPr>
        <w:tabs>
          <w:tab w:val="num" w:pos="561"/>
        </w:tabs>
        <w:ind w:left="561" w:hanging="360"/>
      </w:pPr>
    </w:lvl>
    <w:lvl w:ilvl="4">
      <w:start w:val="1"/>
      <w:numFmt w:val="decimal"/>
      <w:lvlText w:val="%1.%2.%3.%4.%5."/>
      <w:lvlJc w:val="left"/>
      <w:pPr>
        <w:tabs>
          <w:tab w:val="num" w:pos="628"/>
        </w:tabs>
        <w:ind w:left="628" w:hanging="360"/>
      </w:pPr>
    </w:lvl>
    <w:lvl w:ilvl="5">
      <w:start w:val="1"/>
      <w:numFmt w:val="decimal"/>
      <w:lvlText w:val="%1.%2.%3.%4.%5.%6."/>
      <w:lvlJc w:val="left"/>
      <w:pPr>
        <w:tabs>
          <w:tab w:val="num" w:pos="695"/>
        </w:tabs>
        <w:ind w:left="695" w:hanging="360"/>
      </w:pPr>
    </w:lvl>
    <w:lvl w:ilvl="6">
      <w:start w:val="1"/>
      <w:numFmt w:val="decimal"/>
      <w:lvlText w:val="%1.%2.%3.%4.%5.%6.%7."/>
      <w:lvlJc w:val="left"/>
      <w:pPr>
        <w:tabs>
          <w:tab w:val="num" w:pos="762"/>
        </w:tabs>
        <w:ind w:left="7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29"/>
        </w:tabs>
        <w:ind w:left="82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96"/>
        </w:tabs>
        <w:ind w:left="896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0"/>
      <w:numFmt w:val="decimal"/>
      <w:lvlText w:val="%1.%2"/>
      <w:lvlJc w:val="left"/>
      <w:pPr>
        <w:tabs>
          <w:tab w:val="num" w:pos="427"/>
        </w:tabs>
        <w:ind w:left="427" w:hanging="360"/>
      </w:pPr>
    </w:lvl>
    <w:lvl w:ilvl="2">
      <w:start w:val="1"/>
      <w:numFmt w:val="decimal"/>
      <w:lvlText w:val="%1.%2.%3."/>
      <w:lvlJc w:val="left"/>
      <w:pPr>
        <w:tabs>
          <w:tab w:val="num" w:pos="494"/>
        </w:tabs>
        <w:ind w:left="494" w:hanging="360"/>
      </w:pPr>
    </w:lvl>
    <w:lvl w:ilvl="3">
      <w:start w:val="1"/>
      <w:numFmt w:val="decimal"/>
      <w:lvlText w:val="%1.%2.%3.%4."/>
      <w:lvlJc w:val="left"/>
      <w:pPr>
        <w:tabs>
          <w:tab w:val="num" w:pos="561"/>
        </w:tabs>
        <w:ind w:left="561" w:hanging="360"/>
      </w:pPr>
    </w:lvl>
    <w:lvl w:ilvl="4">
      <w:start w:val="1"/>
      <w:numFmt w:val="decimal"/>
      <w:lvlText w:val="%1.%2.%3.%4.%5."/>
      <w:lvlJc w:val="left"/>
      <w:pPr>
        <w:tabs>
          <w:tab w:val="num" w:pos="628"/>
        </w:tabs>
        <w:ind w:left="628" w:hanging="360"/>
      </w:pPr>
    </w:lvl>
    <w:lvl w:ilvl="5">
      <w:start w:val="1"/>
      <w:numFmt w:val="decimal"/>
      <w:lvlText w:val="%1.%2.%3.%4.%5.%6."/>
      <w:lvlJc w:val="left"/>
      <w:pPr>
        <w:tabs>
          <w:tab w:val="num" w:pos="695"/>
        </w:tabs>
        <w:ind w:left="695" w:hanging="360"/>
      </w:pPr>
    </w:lvl>
    <w:lvl w:ilvl="6">
      <w:start w:val="1"/>
      <w:numFmt w:val="decimal"/>
      <w:lvlText w:val="%1.%2.%3.%4.%5.%6.%7."/>
      <w:lvlJc w:val="left"/>
      <w:pPr>
        <w:tabs>
          <w:tab w:val="num" w:pos="762"/>
        </w:tabs>
        <w:ind w:left="7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29"/>
        </w:tabs>
        <w:ind w:left="82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96"/>
        </w:tabs>
        <w:ind w:left="896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1.%2"/>
      <w:lvlJc w:val="left"/>
      <w:pPr>
        <w:tabs>
          <w:tab w:val="num" w:pos="427"/>
        </w:tabs>
        <w:ind w:left="427" w:hanging="360"/>
      </w:pPr>
    </w:lvl>
    <w:lvl w:ilvl="2">
      <w:start w:val="1"/>
      <w:numFmt w:val="decimal"/>
      <w:lvlText w:val="%1.%2.%3."/>
      <w:lvlJc w:val="left"/>
      <w:pPr>
        <w:tabs>
          <w:tab w:val="num" w:pos="494"/>
        </w:tabs>
        <w:ind w:left="494" w:hanging="360"/>
      </w:pPr>
    </w:lvl>
    <w:lvl w:ilvl="3">
      <w:start w:val="1"/>
      <w:numFmt w:val="decimal"/>
      <w:lvlText w:val="%1.%2.%3.%4."/>
      <w:lvlJc w:val="left"/>
      <w:pPr>
        <w:tabs>
          <w:tab w:val="num" w:pos="561"/>
        </w:tabs>
        <w:ind w:left="561" w:hanging="360"/>
      </w:pPr>
    </w:lvl>
    <w:lvl w:ilvl="4">
      <w:start w:val="1"/>
      <w:numFmt w:val="decimal"/>
      <w:lvlText w:val="%1.%2.%3.%4.%5."/>
      <w:lvlJc w:val="left"/>
      <w:pPr>
        <w:tabs>
          <w:tab w:val="num" w:pos="628"/>
        </w:tabs>
        <w:ind w:left="628" w:hanging="360"/>
      </w:pPr>
    </w:lvl>
    <w:lvl w:ilvl="5">
      <w:start w:val="1"/>
      <w:numFmt w:val="decimal"/>
      <w:lvlText w:val="%1.%2.%3.%4.%5.%6."/>
      <w:lvlJc w:val="left"/>
      <w:pPr>
        <w:tabs>
          <w:tab w:val="num" w:pos="695"/>
        </w:tabs>
        <w:ind w:left="695" w:hanging="360"/>
      </w:pPr>
    </w:lvl>
    <w:lvl w:ilvl="6">
      <w:start w:val="1"/>
      <w:numFmt w:val="decimal"/>
      <w:lvlText w:val="%1.%2.%3.%4.%5.%6.%7."/>
      <w:lvlJc w:val="left"/>
      <w:pPr>
        <w:tabs>
          <w:tab w:val="num" w:pos="762"/>
        </w:tabs>
        <w:ind w:left="7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29"/>
        </w:tabs>
        <w:ind w:left="82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96"/>
        </w:tabs>
        <w:ind w:left="896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2F23AC1"/>
    <w:multiLevelType w:val="hybridMultilevel"/>
    <w:tmpl w:val="CD6A1912"/>
    <w:lvl w:ilvl="0" w:tplc="158E6E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46B16"/>
    <w:multiLevelType w:val="hybridMultilevel"/>
    <w:tmpl w:val="3EB2C77A"/>
    <w:lvl w:ilvl="0" w:tplc="F19A2A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354A7FC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ascii="Times New Roman" w:eastAsia="Calibri" w:hAnsi="Times New Roman" w:cs="Times New Roman"/>
        <w:b w:val="0"/>
        <w:bCs/>
      </w:r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6" w15:restartNumberingAfterBreak="0">
    <w:nsid w:val="10BA6258"/>
    <w:multiLevelType w:val="hybridMultilevel"/>
    <w:tmpl w:val="C65C4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40470"/>
    <w:multiLevelType w:val="hybridMultilevel"/>
    <w:tmpl w:val="7E6A4ACE"/>
    <w:lvl w:ilvl="0" w:tplc="43EC00AE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4D451D"/>
    <w:multiLevelType w:val="hybridMultilevel"/>
    <w:tmpl w:val="7CCE8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133BF"/>
    <w:multiLevelType w:val="hybridMultilevel"/>
    <w:tmpl w:val="50AA1F98"/>
    <w:lvl w:ilvl="0" w:tplc="9F003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CB4DFC"/>
    <w:multiLevelType w:val="hybridMultilevel"/>
    <w:tmpl w:val="F4B8F91E"/>
    <w:lvl w:ilvl="0" w:tplc="0415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5AC5D9D"/>
    <w:multiLevelType w:val="hybridMultilevel"/>
    <w:tmpl w:val="1D0A8ED4"/>
    <w:lvl w:ilvl="0" w:tplc="B16623FE">
      <w:start w:val="1"/>
      <w:numFmt w:val="bullet"/>
      <w:lvlText w:val="۔"/>
      <w:lvlJc w:val="left"/>
      <w:pPr>
        <w:tabs>
          <w:tab w:val="num" w:pos="340"/>
        </w:tabs>
        <w:ind w:left="340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1479E"/>
    <w:multiLevelType w:val="hybridMultilevel"/>
    <w:tmpl w:val="8E8AF078"/>
    <w:lvl w:ilvl="0" w:tplc="0214F546">
      <w:numFmt w:val="bullet"/>
      <w:lvlText w:val="•"/>
      <w:lvlJc w:val="left"/>
      <w:pPr>
        <w:ind w:left="2140" w:hanging="70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E4298F"/>
    <w:multiLevelType w:val="hybridMultilevel"/>
    <w:tmpl w:val="0080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17C2B"/>
    <w:multiLevelType w:val="hybridMultilevel"/>
    <w:tmpl w:val="B0789A2A"/>
    <w:lvl w:ilvl="0" w:tplc="B16623FE">
      <w:start w:val="1"/>
      <w:numFmt w:val="bullet"/>
      <w:lvlText w:val="۔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1" w:tplc="B16623FE">
      <w:start w:val="1"/>
      <w:numFmt w:val="bullet"/>
      <w:lvlText w:val="۔"/>
      <w:lvlJc w:val="left"/>
      <w:pPr>
        <w:tabs>
          <w:tab w:val="num" w:pos="1003"/>
        </w:tabs>
        <w:ind w:left="1003" w:hanging="283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8B8787D"/>
    <w:multiLevelType w:val="hybridMultilevel"/>
    <w:tmpl w:val="652E31F2"/>
    <w:lvl w:ilvl="0" w:tplc="0214F546">
      <w:numFmt w:val="bullet"/>
      <w:lvlText w:val="•"/>
      <w:lvlJc w:val="left"/>
      <w:pPr>
        <w:ind w:left="2140" w:hanging="70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0C391F"/>
    <w:multiLevelType w:val="hybridMultilevel"/>
    <w:tmpl w:val="0854015C"/>
    <w:lvl w:ilvl="0" w:tplc="0214F546">
      <w:numFmt w:val="bullet"/>
      <w:lvlText w:val="•"/>
      <w:lvlJc w:val="left"/>
      <w:pPr>
        <w:ind w:left="1420" w:hanging="70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6278154">
    <w:abstractNumId w:val="0"/>
  </w:num>
  <w:num w:numId="2" w16cid:durableId="1039552183">
    <w:abstractNumId w:val="1"/>
  </w:num>
  <w:num w:numId="3" w16cid:durableId="1008798812">
    <w:abstractNumId w:val="2"/>
  </w:num>
  <w:num w:numId="4" w16cid:durableId="78211815">
    <w:abstractNumId w:val="3"/>
  </w:num>
  <w:num w:numId="5" w16cid:durableId="178080193">
    <w:abstractNumId w:val="14"/>
  </w:num>
  <w:num w:numId="6" w16cid:durableId="1777023997">
    <w:abstractNumId w:val="11"/>
  </w:num>
  <w:num w:numId="7" w16cid:durableId="732050148">
    <w:abstractNumId w:val="9"/>
  </w:num>
  <w:num w:numId="8" w16cid:durableId="1244149662">
    <w:abstractNumId w:val="10"/>
  </w:num>
  <w:num w:numId="9" w16cid:durableId="184171838">
    <w:abstractNumId w:val="8"/>
  </w:num>
  <w:num w:numId="10" w16cid:durableId="1520391349">
    <w:abstractNumId w:val="4"/>
  </w:num>
  <w:num w:numId="11" w16cid:durableId="285937880">
    <w:abstractNumId w:val="13"/>
  </w:num>
  <w:num w:numId="12" w16cid:durableId="408425026">
    <w:abstractNumId w:val="6"/>
  </w:num>
  <w:num w:numId="13" w16cid:durableId="1274092472">
    <w:abstractNumId w:val="7"/>
  </w:num>
  <w:num w:numId="14" w16cid:durableId="814687634">
    <w:abstractNumId w:val="5"/>
  </w:num>
  <w:num w:numId="15" w16cid:durableId="2103915095">
    <w:abstractNumId w:val="16"/>
  </w:num>
  <w:num w:numId="16" w16cid:durableId="1641307154">
    <w:abstractNumId w:val="15"/>
  </w:num>
  <w:num w:numId="17" w16cid:durableId="15493001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170"/>
    <w:rsid w:val="00002656"/>
    <w:rsid w:val="00002861"/>
    <w:rsid w:val="00002B86"/>
    <w:rsid w:val="00005C4D"/>
    <w:rsid w:val="000079D2"/>
    <w:rsid w:val="00025755"/>
    <w:rsid w:val="000405E8"/>
    <w:rsid w:val="00042E17"/>
    <w:rsid w:val="000528AD"/>
    <w:rsid w:val="00053354"/>
    <w:rsid w:val="00056F1B"/>
    <w:rsid w:val="00057659"/>
    <w:rsid w:val="000611DE"/>
    <w:rsid w:val="000704A5"/>
    <w:rsid w:val="000711AF"/>
    <w:rsid w:val="00075960"/>
    <w:rsid w:val="00077AF1"/>
    <w:rsid w:val="00077D33"/>
    <w:rsid w:val="00080336"/>
    <w:rsid w:val="0008618D"/>
    <w:rsid w:val="000915C0"/>
    <w:rsid w:val="00096C92"/>
    <w:rsid w:val="00096DD6"/>
    <w:rsid w:val="000A0797"/>
    <w:rsid w:val="000A124B"/>
    <w:rsid w:val="000B410C"/>
    <w:rsid w:val="000B629E"/>
    <w:rsid w:val="000C693C"/>
    <w:rsid w:val="000D6959"/>
    <w:rsid w:val="000D69BC"/>
    <w:rsid w:val="000F7495"/>
    <w:rsid w:val="00100B29"/>
    <w:rsid w:val="001049C6"/>
    <w:rsid w:val="00116956"/>
    <w:rsid w:val="00120A78"/>
    <w:rsid w:val="0012165B"/>
    <w:rsid w:val="0013018B"/>
    <w:rsid w:val="00130A5E"/>
    <w:rsid w:val="00130AA4"/>
    <w:rsid w:val="001353C0"/>
    <w:rsid w:val="00154579"/>
    <w:rsid w:val="0015532C"/>
    <w:rsid w:val="0015773F"/>
    <w:rsid w:val="00165BF0"/>
    <w:rsid w:val="00167EF1"/>
    <w:rsid w:val="001711F9"/>
    <w:rsid w:val="001715BF"/>
    <w:rsid w:val="00171842"/>
    <w:rsid w:val="00171FAA"/>
    <w:rsid w:val="00174DBE"/>
    <w:rsid w:val="00176142"/>
    <w:rsid w:val="0018363B"/>
    <w:rsid w:val="0018512D"/>
    <w:rsid w:val="00186939"/>
    <w:rsid w:val="001915FC"/>
    <w:rsid w:val="00197B2B"/>
    <w:rsid w:val="001A37EC"/>
    <w:rsid w:val="001A5FD1"/>
    <w:rsid w:val="001A76A5"/>
    <w:rsid w:val="001C45B0"/>
    <w:rsid w:val="001C4E0C"/>
    <w:rsid w:val="001D13C5"/>
    <w:rsid w:val="001D4C26"/>
    <w:rsid w:val="001E0A02"/>
    <w:rsid w:val="001E1DA7"/>
    <w:rsid w:val="001E2DA8"/>
    <w:rsid w:val="001E4305"/>
    <w:rsid w:val="001E6645"/>
    <w:rsid w:val="001F21AF"/>
    <w:rsid w:val="00201170"/>
    <w:rsid w:val="00201FD2"/>
    <w:rsid w:val="002030E6"/>
    <w:rsid w:val="00204461"/>
    <w:rsid w:val="00204BCC"/>
    <w:rsid w:val="00210A57"/>
    <w:rsid w:val="00211C3D"/>
    <w:rsid w:val="00221696"/>
    <w:rsid w:val="00232114"/>
    <w:rsid w:val="00235F51"/>
    <w:rsid w:val="002367E1"/>
    <w:rsid w:val="002372AC"/>
    <w:rsid w:val="00243B68"/>
    <w:rsid w:val="002506A5"/>
    <w:rsid w:val="00264571"/>
    <w:rsid w:val="00264C14"/>
    <w:rsid w:val="00265D2C"/>
    <w:rsid w:val="00273BF2"/>
    <w:rsid w:val="00274EB9"/>
    <w:rsid w:val="002871A0"/>
    <w:rsid w:val="002874C0"/>
    <w:rsid w:val="00293F15"/>
    <w:rsid w:val="0029626D"/>
    <w:rsid w:val="002A2735"/>
    <w:rsid w:val="002B27FB"/>
    <w:rsid w:val="002C2436"/>
    <w:rsid w:val="002C7292"/>
    <w:rsid w:val="002D41F9"/>
    <w:rsid w:val="002D7530"/>
    <w:rsid w:val="002E5B9B"/>
    <w:rsid w:val="00300BA3"/>
    <w:rsid w:val="00302B2E"/>
    <w:rsid w:val="00306EF8"/>
    <w:rsid w:val="0031037A"/>
    <w:rsid w:val="003117FF"/>
    <w:rsid w:val="00314757"/>
    <w:rsid w:val="00320E1F"/>
    <w:rsid w:val="003233DD"/>
    <w:rsid w:val="0032371A"/>
    <w:rsid w:val="00325EF1"/>
    <w:rsid w:val="003264CF"/>
    <w:rsid w:val="00331FBE"/>
    <w:rsid w:val="0033336A"/>
    <w:rsid w:val="003363CA"/>
    <w:rsid w:val="00342021"/>
    <w:rsid w:val="00346753"/>
    <w:rsid w:val="0034760D"/>
    <w:rsid w:val="0035070C"/>
    <w:rsid w:val="00355D22"/>
    <w:rsid w:val="00357375"/>
    <w:rsid w:val="00360FE7"/>
    <w:rsid w:val="003707F3"/>
    <w:rsid w:val="003755EC"/>
    <w:rsid w:val="003872FE"/>
    <w:rsid w:val="0038767F"/>
    <w:rsid w:val="003905DF"/>
    <w:rsid w:val="003A5BC6"/>
    <w:rsid w:val="003A6850"/>
    <w:rsid w:val="003A7356"/>
    <w:rsid w:val="003C3766"/>
    <w:rsid w:val="003C6490"/>
    <w:rsid w:val="003D49C4"/>
    <w:rsid w:val="003E062C"/>
    <w:rsid w:val="003E4FB8"/>
    <w:rsid w:val="003F19BC"/>
    <w:rsid w:val="003F3072"/>
    <w:rsid w:val="004026D1"/>
    <w:rsid w:val="004037E4"/>
    <w:rsid w:val="0041306D"/>
    <w:rsid w:val="00414085"/>
    <w:rsid w:val="004267CE"/>
    <w:rsid w:val="00433EA2"/>
    <w:rsid w:val="00441595"/>
    <w:rsid w:val="0044411D"/>
    <w:rsid w:val="00444B04"/>
    <w:rsid w:val="00445869"/>
    <w:rsid w:val="00452F6B"/>
    <w:rsid w:val="0046127B"/>
    <w:rsid w:val="0048599A"/>
    <w:rsid w:val="00497E18"/>
    <w:rsid w:val="004A4334"/>
    <w:rsid w:val="004C1B39"/>
    <w:rsid w:val="004D0763"/>
    <w:rsid w:val="004D4837"/>
    <w:rsid w:val="004D559D"/>
    <w:rsid w:val="004E1F2D"/>
    <w:rsid w:val="004E613B"/>
    <w:rsid w:val="004F4D96"/>
    <w:rsid w:val="005107C4"/>
    <w:rsid w:val="00515154"/>
    <w:rsid w:val="0051555A"/>
    <w:rsid w:val="00516D7A"/>
    <w:rsid w:val="00524B02"/>
    <w:rsid w:val="005304CB"/>
    <w:rsid w:val="00531A74"/>
    <w:rsid w:val="0053514E"/>
    <w:rsid w:val="00544621"/>
    <w:rsid w:val="00544972"/>
    <w:rsid w:val="00554EBA"/>
    <w:rsid w:val="0055631D"/>
    <w:rsid w:val="0055679D"/>
    <w:rsid w:val="00565F7F"/>
    <w:rsid w:val="00570D72"/>
    <w:rsid w:val="00571DFB"/>
    <w:rsid w:val="00573DA9"/>
    <w:rsid w:val="00574B68"/>
    <w:rsid w:val="005802D6"/>
    <w:rsid w:val="005811D3"/>
    <w:rsid w:val="00585459"/>
    <w:rsid w:val="005856C8"/>
    <w:rsid w:val="00587B5E"/>
    <w:rsid w:val="00592E89"/>
    <w:rsid w:val="00595893"/>
    <w:rsid w:val="005B314E"/>
    <w:rsid w:val="005C2749"/>
    <w:rsid w:val="005E1BFD"/>
    <w:rsid w:val="005F1D5D"/>
    <w:rsid w:val="005F3CE6"/>
    <w:rsid w:val="0061188C"/>
    <w:rsid w:val="006160FA"/>
    <w:rsid w:val="0062186B"/>
    <w:rsid w:val="00627158"/>
    <w:rsid w:val="006359FB"/>
    <w:rsid w:val="00636BFE"/>
    <w:rsid w:val="00636F8F"/>
    <w:rsid w:val="00637B5B"/>
    <w:rsid w:val="0064204C"/>
    <w:rsid w:val="00643A98"/>
    <w:rsid w:val="00655A44"/>
    <w:rsid w:val="00660C7C"/>
    <w:rsid w:val="006631CF"/>
    <w:rsid w:val="00665119"/>
    <w:rsid w:val="00670988"/>
    <w:rsid w:val="0067768F"/>
    <w:rsid w:val="00683E26"/>
    <w:rsid w:val="0069130A"/>
    <w:rsid w:val="006962F3"/>
    <w:rsid w:val="006A3E5C"/>
    <w:rsid w:val="006A3EA4"/>
    <w:rsid w:val="006A6152"/>
    <w:rsid w:val="006B1A19"/>
    <w:rsid w:val="006B457C"/>
    <w:rsid w:val="006C1248"/>
    <w:rsid w:val="006C60B1"/>
    <w:rsid w:val="006D4AAF"/>
    <w:rsid w:val="006D64A0"/>
    <w:rsid w:val="006D7658"/>
    <w:rsid w:val="006D7FF5"/>
    <w:rsid w:val="006F203F"/>
    <w:rsid w:val="006F2FF4"/>
    <w:rsid w:val="006F4773"/>
    <w:rsid w:val="006F584A"/>
    <w:rsid w:val="00712481"/>
    <w:rsid w:val="007217DC"/>
    <w:rsid w:val="00730594"/>
    <w:rsid w:val="007327F7"/>
    <w:rsid w:val="00732D88"/>
    <w:rsid w:val="007344EF"/>
    <w:rsid w:val="00743DFA"/>
    <w:rsid w:val="00750983"/>
    <w:rsid w:val="00751DF9"/>
    <w:rsid w:val="007542E0"/>
    <w:rsid w:val="00756637"/>
    <w:rsid w:val="00756814"/>
    <w:rsid w:val="00756EE4"/>
    <w:rsid w:val="00774235"/>
    <w:rsid w:val="00775A74"/>
    <w:rsid w:val="00787A43"/>
    <w:rsid w:val="00791AE2"/>
    <w:rsid w:val="00794327"/>
    <w:rsid w:val="007A074D"/>
    <w:rsid w:val="007B2B22"/>
    <w:rsid w:val="007B71F5"/>
    <w:rsid w:val="007C3D2C"/>
    <w:rsid w:val="007C4AAD"/>
    <w:rsid w:val="007D620D"/>
    <w:rsid w:val="007F451F"/>
    <w:rsid w:val="0080594A"/>
    <w:rsid w:val="0083214F"/>
    <w:rsid w:val="0083526F"/>
    <w:rsid w:val="0084399E"/>
    <w:rsid w:val="00845169"/>
    <w:rsid w:val="0084645E"/>
    <w:rsid w:val="00852978"/>
    <w:rsid w:val="00860EAC"/>
    <w:rsid w:val="00886DF7"/>
    <w:rsid w:val="00886E54"/>
    <w:rsid w:val="00890209"/>
    <w:rsid w:val="00890344"/>
    <w:rsid w:val="008954F8"/>
    <w:rsid w:val="008A4F4A"/>
    <w:rsid w:val="008A7B95"/>
    <w:rsid w:val="008C3A4C"/>
    <w:rsid w:val="008C7DA8"/>
    <w:rsid w:val="00911552"/>
    <w:rsid w:val="00925656"/>
    <w:rsid w:val="00930219"/>
    <w:rsid w:val="00930F67"/>
    <w:rsid w:val="009344E1"/>
    <w:rsid w:val="009406EE"/>
    <w:rsid w:val="0094596B"/>
    <w:rsid w:val="00952899"/>
    <w:rsid w:val="00957A52"/>
    <w:rsid w:val="009621D3"/>
    <w:rsid w:val="00964F56"/>
    <w:rsid w:val="00965E7A"/>
    <w:rsid w:val="00967EAA"/>
    <w:rsid w:val="0097363E"/>
    <w:rsid w:val="00976F1C"/>
    <w:rsid w:val="00994ABC"/>
    <w:rsid w:val="00995939"/>
    <w:rsid w:val="00997118"/>
    <w:rsid w:val="009A075C"/>
    <w:rsid w:val="009A19C7"/>
    <w:rsid w:val="009A2212"/>
    <w:rsid w:val="009B7F63"/>
    <w:rsid w:val="009C0C19"/>
    <w:rsid w:val="009C611D"/>
    <w:rsid w:val="009D60D6"/>
    <w:rsid w:val="009E26B9"/>
    <w:rsid w:val="009E39D2"/>
    <w:rsid w:val="009F6A47"/>
    <w:rsid w:val="009F739D"/>
    <w:rsid w:val="00A0302F"/>
    <w:rsid w:val="00A16904"/>
    <w:rsid w:val="00A22D37"/>
    <w:rsid w:val="00A313F5"/>
    <w:rsid w:val="00A33D54"/>
    <w:rsid w:val="00A75018"/>
    <w:rsid w:val="00A76366"/>
    <w:rsid w:val="00A7666A"/>
    <w:rsid w:val="00A76DC0"/>
    <w:rsid w:val="00A8096A"/>
    <w:rsid w:val="00A83B41"/>
    <w:rsid w:val="00A91672"/>
    <w:rsid w:val="00A97F61"/>
    <w:rsid w:val="00AA1674"/>
    <w:rsid w:val="00AB364B"/>
    <w:rsid w:val="00AB5576"/>
    <w:rsid w:val="00AC3CD1"/>
    <w:rsid w:val="00AC770E"/>
    <w:rsid w:val="00AD21FA"/>
    <w:rsid w:val="00AD55D2"/>
    <w:rsid w:val="00AE03DA"/>
    <w:rsid w:val="00AF1073"/>
    <w:rsid w:val="00AF2F65"/>
    <w:rsid w:val="00AF74AE"/>
    <w:rsid w:val="00B07A08"/>
    <w:rsid w:val="00B12A4D"/>
    <w:rsid w:val="00B20174"/>
    <w:rsid w:val="00B234E8"/>
    <w:rsid w:val="00B43594"/>
    <w:rsid w:val="00B44BC0"/>
    <w:rsid w:val="00B4623A"/>
    <w:rsid w:val="00B533E9"/>
    <w:rsid w:val="00B66670"/>
    <w:rsid w:val="00B72CE7"/>
    <w:rsid w:val="00B807CA"/>
    <w:rsid w:val="00B847CD"/>
    <w:rsid w:val="00BA34D9"/>
    <w:rsid w:val="00BA41BF"/>
    <w:rsid w:val="00BC6E3C"/>
    <w:rsid w:val="00BD78EA"/>
    <w:rsid w:val="00C052CC"/>
    <w:rsid w:val="00C109C8"/>
    <w:rsid w:val="00C10C54"/>
    <w:rsid w:val="00C17137"/>
    <w:rsid w:val="00C2477A"/>
    <w:rsid w:val="00C26988"/>
    <w:rsid w:val="00C30E70"/>
    <w:rsid w:val="00C40935"/>
    <w:rsid w:val="00C509D3"/>
    <w:rsid w:val="00C53068"/>
    <w:rsid w:val="00C54CD0"/>
    <w:rsid w:val="00C54D51"/>
    <w:rsid w:val="00C81980"/>
    <w:rsid w:val="00C85BC7"/>
    <w:rsid w:val="00C94C2C"/>
    <w:rsid w:val="00CA399D"/>
    <w:rsid w:val="00CB0222"/>
    <w:rsid w:val="00CC18FF"/>
    <w:rsid w:val="00CC3ED9"/>
    <w:rsid w:val="00CD20B9"/>
    <w:rsid w:val="00CD6217"/>
    <w:rsid w:val="00CD7D2F"/>
    <w:rsid w:val="00CD7D4E"/>
    <w:rsid w:val="00CF5120"/>
    <w:rsid w:val="00CF5168"/>
    <w:rsid w:val="00CF6994"/>
    <w:rsid w:val="00D0119D"/>
    <w:rsid w:val="00D15428"/>
    <w:rsid w:val="00D25542"/>
    <w:rsid w:val="00D330FA"/>
    <w:rsid w:val="00D335C8"/>
    <w:rsid w:val="00D46715"/>
    <w:rsid w:val="00D56B82"/>
    <w:rsid w:val="00D62E60"/>
    <w:rsid w:val="00D6479C"/>
    <w:rsid w:val="00D647F3"/>
    <w:rsid w:val="00D8233E"/>
    <w:rsid w:val="00D84DAE"/>
    <w:rsid w:val="00D87308"/>
    <w:rsid w:val="00D90B03"/>
    <w:rsid w:val="00D94C92"/>
    <w:rsid w:val="00DB0579"/>
    <w:rsid w:val="00DB2E01"/>
    <w:rsid w:val="00DB5E42"/>
    <w:rsid w:val="00DB755E"/>
    <w:rsid w:val="00DE0793"/>
    <w:rsid w:val="00DE27CD"/>
    <w:rsid w:val="00DE2FBC"/>
    <w:rsid w:val="00DE4A65"/>
    <w:rsid w:val="00DE752F"/>
    <w:rsid w:val="00DF0CC7"/>
    <w:rsid w:val="00DF620C"/>
    <w:rsid w:val="00E05953"/>
    <w:rsid w:val="00E116C2"/>
    <w:rsid w:val="00E13D07"/>
    <w:rsid w:val="00E2783D"/>
    <w:rsid w:val="00E30076"/>
    <w:rsid w:val="00E321FB"/>
    <w:rsid w:val="00E41765"/>
    <w:rsid w:val="00E50667"/>
    <w:rsid w:val="00E60CAD"/>
    <w:rsid w:val="00E63F6B"/>
    <w:rsid w:val="00E74C9A"/>
    <w:rsid w:val="00E77655"/>
    <w:rsid w:val="00E86034"/>
    <w:rsid w:val="00E95B79"/>
    <w:rsid w:val="00EA5999"/>
    <w:rsid w:val="00EB121F"/>
    <w:rsid w:val="00EB3DF7"/>
    <w:rsid w:val="00EC6DDE"/>
    <w:rsid w:val="00ED5C2D"/>
    <w:rsid w:val="00F0099F"/>
    <w:rsid w:val="00F00D00"/>
    <w:rsid w:val="00F0379C"/>
    <w:rsid w:val="00F21D4B"/>
    <w:rsid w:val="00F242F0"/>
    <w:rsid w:val="00F25D64"/>
    <w:rsid w:val="00F35FC8"/>
    <w:rsid w:val="00F4625A"/>
    <w:rsid w:val="00F46478"/>
    <w:rsid w:val="00F50542"/>
    <w:rsid w:val="00F65202"/>
    <w:rsid w:val="00F665D8"/>
    <w:rsid w:val="00F7470F"/>
    <w:rsid w:val="00F755B2"/>
    <w:rsid w:val="00F868C4"/>
    <w:rsid w:val="00F9405B"/>
    <w:rsid w:val="00FA52C4"/>
    <w:rsid w:val="00FA6643"/>
    <w:rsid w:val="00FB0270"/>
    <w:rsid w:val="00F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34984FC"/>
  <w15:docId w15:val="{E56FF623-8B8F-4E6A-B79B-F478BD39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26D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4E1F2D"/>
  </w:style>
  <w:style w:type="character" w:customStyle="1" w:styleId="Absatz-Standardschriftart">
    <w:name w:val="Absatz-Standardschriftart"/>
    <w:rsid w:val="004E1F2D"/>
  </w:style>
  <w:style w:type="character" w:customStyle="1" w:styleId="WW-Absatz-Standardschriftart">
    <w:name w:val="WW-Absatz-Standardschriftart"/>
    <w:rsid w:val="004E1F2D"/>
  </w:style>
  <w:style w:type="character" w:customStyle="1" w:styleId="WW8Num1z0">
    <w:name w:val="WW8Num1z0"/>
    <w:rsid w:val="004E1F2D"/>
    <w:rPr>
      <w:rFonts w:ascii="Symbol" w:hAnsi="Symbol"/>
    </w:rPr>
  </w:style>
  <w:style w:type="character" w:customStyle="1" w:styleId="WW8Num2z0">
    <w:name w:val="WW8Num2z0"/>
    <w:rsid w:val="004E1F2D"/>
    <w:rPr>
      <w:rFonts w:ascii="Wingdings" w:hAnsi="Wingdings"/>
    </w:rPr>
  </w:style>
  <w:style w:type="character" w:customStyle="1" w:styleId="WW8Num2z1">
    <w:name w:val="WW8Num2z1"/>
    <w:rsid w:val="004E1F2D"/>
    <w:rPr>
      <w:rFonts w:ascii="Courier New" w:hAnsi="Courier New" w:cs="Courier New"/>
    </w:rPr>
  </w:style>
  <w:style w:type="character" w:customStyle="1" w:styleId="WW8Num2z3">
    <w:name w:val="WW8Num2z3"/>
    <w:rsid w:val="004E1F2D"/>
    <w:rPr>
      <w:rFonts w:ascii="Symbol" w:hAnsi="Symbol"/>
    </w:rPr>
  </w:style>
  <w:style w:type="character" w:customStyle="1" w:styleId="WW8Num3z0">
    <w:name w:val="WW8Num3z0"/>
    <w:rsid w:val="004E1F2D"/>
    <w:rPr>
      <w:b/>
      <w:sz w:val="24"/>
      <w:szCs w:val="24"/>
    </w:rPr>
  </w:style>
  <w:style w:type="character" w:customStyle="1" w:styleId="WW8Num4z0">
    <w:name w:val="WW8Num4z0"/>
    <w:rsid w:val="004E1F2D"/>
    <w:rPr>
      <w:rFonts w:ascii="Symbol" w:hAnsi="Symbol"/>
    </w:rPr>
  </w:style>
  <w:style w:type="character" w:customStyle="1" w:styleId="WW8Num7z0">
    <w:name w:val="WW8Num7z0"/>
    <w:rsid w:val="004E1F2D"/>
    <w:rPr>
      <w:rFonts w:ascii="Symbol" w:hAnsi="Symbol"/>
    </w:rPr>
  </w:style>
  <w:style w:type="character" w:customStyle="1" w:styleId="WW8Num9z0">
    <w:name w:val="WW8Num9z0"/>
    <w:rsid w:val="004E1F2D"/>
    <w:rPr>
      <w:rFonts w:ascii="Symbol" w:hAnsi="Symbol"/>
    </w:rPr>
  </w:style>
  <w:style w:type="character" w:customStyle="1" w:styleId="WW8Num13z0">
    <w:name w:val="WW8Num13z0"/>
    <w:rsid w:val="004E1F2D"/>
    <w:rPr>
      <w:rFonts w:ascii="Symbol" w:hAnsi="Symbol"/>
    </w:rPr>
  </w:style>
  <w:style w:type="character" w:customStyle="1" w:styleId="WW8Num15z0">
    <w:name w:val="WW8Num15z0"/>
    <w:rsid w:val="004E1F2D"/>
    <w:rPr>
      <w:rFonts w:ascii="Symbol" w:hAnsi="Symbol"/>
    </w:rPr>
  </w:style>
  <w:style w:type="character" w:customStyle="1" w:styleId="WW8Num16z0">
    <w:name w:val="WW8Num16z0"/>
    <w:rsid w:val="004E1F2D"/>
    <w:rPr>
      <w:rFonts w:ascii="Symbol" w:hAnsi="Symbol"/>
    </w:rPr>
  </w:style>
  <w:style w:type="character" w:customStyle="1" w:styleId="Domylnaczcionkaakapitu1">
    <w:name w:val="Domyślna czcionka akapitu1"/>
    <w:rsid w:val="004E1F2D"/>
  </w:style>
  <w:style w:type="character" w:customStyle="1" w:styleId="StopkaZnak">
    <w:name w:val="Stopka Znak"/>
    <w:rsid w:val="004E1F2D"/>
    <w:rPr>
      <w:sz w:val="24"/>
      <w:szCs w:val="24"/>
    </w:rPr>
  </w:style>
  <w:style w:type="character" w:customStyle="1" w:styleId="TytuZnak">
    <w:name w:val="Tytuł Znak"/>
    <w:rsid w:val="004E1F2D"/>
    <w:rPr>
      <w:sz w:val="32"/>
      <w:szCs w:val="24"/>
    </w:rPr>
  </w:style>
  <w:style w:type="character" w:customStyle="1" w:styleId="TekstpodstawowyZnak">
    <w:name w:val="Tekst podstawowy Znak"/>
    <w:rsid w:val="004E1F2D"/>
    <w:rPr>
      <w:sz w:val="24"/>
    </w:rPr>
  </w:style>
  <w:style w:type="character" w:customStyle="1" w:styleId="HTML-wstpniesformatowanyZnak">
    <w:name w:val="HTML - wstępnie sformatowany Znak"/>
    <w:rsid w:val="004E1F2D"/>
    <w:rPr>
      <w:rFonts w:ascii="Courier New" w:hAnsi="Courier New" w:cs="Courier New"/>
    </w:rPr>
  </w:style>
  <w:style w:type="character" w:customStyle="1" w:styleId="Znakinumeracji">
    <w:name w:val="Znaki numeracji"/>
    <w:rsid w:val="004E1F2D"/>
  </w:style>
  <w:style w:type="paragraph" w:customStyle="1" w:styleId="Nagwek2">
    <w:name w:val="Nagłówek2"/>
    <w:basedOn w:val="Normalny"/>
    <w:next w:val="Tekstpodstawowy"/>
    <w:rsid w:val="004E1F2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E1F2D"/>
    <w:rPr>
      <w:szCs w:val="20"/>
    </w:rPr>
  </w:style>
  <w:style w:type="paragraph" w:styleId="Lista">
    <w:name w:val="List"/>
    <w:basedOn w:val="Tekstpodstawowy"/>
    <w:semiHidden/>
    <w:rsid w:val="004E1F2D"/>
    <w:rPr>
      <w:rFonts w:cs="Tahoma"/>
    </w:rPr>
  </w:style>
  <w:style w:type="paragraph" w:customStyle="1" w:styleId="Podpis2">
    <w:name w:val="Podpis2"/>
    <w:basedOn w:val="Normalny"/>
    <w:rsid w:val="004E1F2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E1F2D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4E1F2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E1F2D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semiHidden/>
    <w:rsid w:val="004E1F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4E1F2D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E1F2D"/>
  </w:style>
  <w:style w:type="paragraph" w:styleId="Tytu">
    <w:name w:val="Title"/>
    <w:basedOn w:val="Normalny"/>
    <w:next w:val="Podtytu"/>
    <w:qFormat/>
    <w:rsid w:val="004E1F2D"/>
    <w:pPr>
      <w:jc w:val="center"/>
    </w:pPr>
    <w:rPr>
      <w:sz w:val="32"/>
    </w:rPr>
  </w:style>
  <w:style w:type="paragraph" w:styleId="Podtytu">
    <w:name w:val="Subtitle"/>
    <w:basedOn w:val="Nagwek1"/>
    <w:next w:val="Tekstpodstawowy"/>
    <w:qFormat/>
    <w:rsid w:val="004E1F2D"/>
    <w:pPr>
      <w:jc w:val="center"/>
    </w:pPr>
    <w:rPr>
      <w:i/>
      <w:iCs/>
    </w:rPr>
  </w:style>
  <w:style w:type="paragraph" w:styleId="Akapitzlist">
    <w:name w:val="List Paragraph"/>
    <w:basedOn w:val="Normalny"/>
    <w:uiPriority w:val="34"/>
    <w:qFormat/>
    <w:rsid w:val="004E1F2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TML-wstpniesformatowany">
    <w:name w:val="HTML Preformatted"/>
    <w:basedOn w:val="Normalny"/>
    <w:rsid w:val="004E1F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Zawartoramki">
    <w:name w:val="Zawartość ramki"/>
    <w:basedOn w:val="Tekstpodstawowy"/>
    <w:rsid w:val="004E1F2D"/>
  </w:style>
  <w:style w:type="paragraph" w:customStyle="1" w:styleId="Zawartotabeli">
    <w:name w:val="Zawartość tabeli"/>
    <w:basedOn w:val="Normalny"/>
    <w:rsid w:val="004E1F2D"/>
    <w:pPr>
      <w:suppressLineNumbers/>
    </w:pPr>
  </w:style>
  <w:style w:type="paragraph" w:customStyle="1" w:styleId="Nagwektabeli">
    <w:name w:val="Nagłówek tabeli"/>
    <w:basedOn w:val="Zawartotabeli"/>
    <w:rsid w:val="004E1F2D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uiPriority w:val="59"/>
    <w:rsid w:val="00E27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6E3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C6E3C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9C611D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Standard">
    <w:name w:val="Standard"/>
    <w:rsid w:val="00C81980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62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626D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62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0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C6073-3E70-4C12-805A-CC3EDFEF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3125</TotalTime>
  <Pages>9</Pages>
  <Words>4018</Words>
  <Characters>22904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 NR ………</vt:lpstr>
    </vt:vector>
  </TitlesOfParts>
  <Company>Hewlett-Packard</Company>
  <LinksUpToDate>false</LinksUpToDate>
  <CharactersWithSpaces>26869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Anna Gilarek</cp:lastModifiedBy>
  <cp:revision>116</cp:revision>
  <cp:lastPrinted>2024-10-01T17:58:00Z</cp:lastPrinted>
  <dcterms:created xsi:type="dcterms:W3CDTF">2020-08-26T12:42:00Z</dcterms:created>
  <dcterms:modified xsi:type="dcterms:W3CDTF">2024-10-01T17:59:00Z</dcterms:modified>
</cp:coreProperties>
</file>